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T13 - Update Author - Initial API Contract</w:t>
      </w:r>
    </w:p>
    <w:p>
      <w:pPr>
        <w:jc w:val="center"/>
      </w:pPr>
      <w:r>
        <w:rPr>
          <w:b/>
        </w:rPr>
        <w:t>Student 13 | LIBRARY-FULLSTACK-V1</w:t>
      </w:r>
    </w:p>
    <w:p>
      <w:pPr>
        <w:pStyle w:val="Heading1"/>
      </w:pPr>
      <w:r>
        <w:t>1.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T13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13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Update Author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13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/rest/authors/{id}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UpdateAuthorService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AuthorResponseDto updateAuthor(Long id, AuthorUpdateRequestDto request)</w:t>
            </w:r>
          </w:p>
        </w:tc>
      </w:tr>
      <w:tr>
        <w:tc>
          <w:tcPr>
            <w:tcW w:type="dxa" w:w="5083"/>
          </w:tcPr>
          <w:p>
            <w:r>
              <w:t>Success Response 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Author Updated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"13",</w:t>
        <w:br/>
        <w:t xml:space="preserve">  "responseCode": "00",</w:t>
        <w:br/>
        <w:t xml:space="preserve">  "message": "Author Updated Successfully",</w:t>
        <w:br/>
        <w:t xml:space="preserve">  "data": { }</w:t>
        <w:br/>
        <w:t>}</w:t>
      </w:r>
    </w:p>
    <w:p>
      <w:pPr>
        <w:pStyle w:val="Heading1"/>
      </w:pPr>
      <w:r>
        <w:t>3. Author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authorCode</w:t>
            </w:r>
          </w:p>
        </w:tc>
        <w:tc>
          <w:tcPr>
            <w:tcW w:type="dxa" w:w="5083"/>
          </w:tcPr>
          <w:p>
            <w:r>
              <w:t>Business key, e.g. AUT-001</w:t>
            </w:r>
          </w:p>
        </w:tc>
      </w:tr>
      <w:tr>
        <w:tc>
          <w:tcPr>
            <w:tcW w:type="dxa" w:w="5083"/>
          </w:tcPr>
          <w:p>
            <w:r>
              <w:t>authorName</w:t>
            </w:r>
          </w:p>
        </w:tc>
        <w:tc>
          <w:tcPr>
            <w:tcW w:type="dxa" w:w="5083"/>
          </w:tcPr>
          <w:p>
            <w:r>
              <w:t>Author display name</w:t>
            </w:r>
          </w:p>
        </w:tc>
      </w:tr>
      <w:tr>
        <w:tc>
          <w:tcPr>
            <w:tcW w:type="dxa" w:w="5083"/>
          </w:tcPr>
          <w:p>
            <w:r>
              <w:t>authorId</w:t>
            </w:r>
          </w:p>
        </w:tc>
        <w:tc>
          <w:tcPr>
            <w:tcW w:type="dxa" w:w="5083"/>
          </w:tcPr>
          <w:p>
            <w:r>
              <w:t>Database identifier in response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Logical active state in response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</w:t>
            </w:r>
          </w:p>
        </w:tc>
        <w:tc>
          <w:tcPr>
            <w:tcW w:type="dxa" w:w="5083"/>
          </w:tcPr>
          <w:p>
            <w:r>
              <w:t>AUT-001 / Robert C. Martin / ACTIVE</w:t>
            </w:r>
          </w:p>
        </w:tc>
      </w:tr>
      <w:tr>
        <w:tc>
          <w:tcPr>
            <w:tcW w:type="dxa" w:w="5083"/>
          </w:tcPr>
          <w:p>
            <w:r>
              <w:t>2</w:t>
            </w:r>
          </w:p>
        </w:tc>
        <w:tc>
          <w:tcPr>
            <w:tcW w:type="dxa" w:w="5083"/>
          </w:tcPr>
          <w:p>
            <w:r>
              <w:t>AUT-002 / Joshua Bloch / ACTIVE</w:t>
            </w:r>
          </w:p>
        </w:tc>
      </w:tr>
      <w:tr>
        <w:tc>
          <w:tcPr>
            <w:tcW w:type="dxa" w:w="5083"/>
          </w:tcPr>
          <w:p>
            <w:r>
              <w:t>3</w:t>
            </w:r>
          </w:p>
        </w:tc>
        <w:tc>
          <w:tcPr>
            <w:tcW w:type="dxa" w:w="5083"/>
          </w:tcPr>
          <w:p>
            <w:r>
              <w:t>AUT-OLD / Archived Author / INACTIVE</w:t>
            </w:r>
          </w:p>
        </w:tc>
      </w:tr>
      <w:tr>
        <w:tc>
          <w:tcPr>
            <w:tcW w:type="dxa" w:w="5083"/>
          </w:tcPr>
          <w:p>
            <w:r>
              <w:t>4</w:t>
            </w:r>
          </w:p>
        </w:tc>
        <w:tc>
          <w:tcPr>
            <w:tcW w:type="dxa" w:w="5083"/>
          </w:tcPr>
          <w:p>
            <w:r>
              <w:t>AUT-004 / Unused Author / ACTIVE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The REST Controller is Presenter-owned. The student implements the assigned service and tests without renaming the endpoint or service code.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