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T32 - Read Book Copy - Initial API Contract</w:t>
      </w:r>
    </w:p>
    <w:p>
      <w:pPr>
        <w:jc w:val="center"/>
      </w:pPr>
      <w:r>
        <w:rPr>
          <w:b/>
        </w:rPr>
        <w:t>Student 32 | LIBRARY-FULLSTACK-V1 | Book Copy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T32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32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Book Copy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32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/rest/book-copies/{id}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ReadBookCopyService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BookCopyResponseDto readBookCopy(Long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Copy Read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"serviceCode":"32",</w:t>
        <w:br/>
        <w:t xml:space="preserve"> "responseCode":"00",</w:t>
        <w:br/>
        <w:t xml:space="preserve"> "message":"Book Copy Read Successfully",</w:t>
        <w:br/>
        <w:t xml:space="preserve"> "data":{}</w:t>
        <w:br/>
        <w:t>}</w:t>
      </w:r>
    </w:p>
    <w:p>
      <w:pPr>
        <w:pStyle w:val="Heading1"/>
      </w:pPr>
      <w:r>
        <w:t>3. Book Copy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accessionNumber</w:t>
            </w:r>
          </w:p>
        </w:tc>
        <w:tc>
          <w:tcPr>
            <w:tcW w:type="dxa" w:w="5083"/>
          </w:tcPr>
          <w:p>
            <w:r>
              <w:t>Business key such as ACC-0001.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Parent Book identifier.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AVAILABLE, ISSUED or WITHDRAWN.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/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/ Book 1 / ISSUED; used by ACTIVE issue ISS-0001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/ Book 2 / WITHDRAWN</w:t>
            </w:r>
          </w:p>
        </w:tc>
      </w:tr>
      <w:tr>
        <w:tc>
          <w:tcPr>
            <w:tcW w:type="dxa" w:w="5083"/>
          </w:tcPr>
          <w:p>
            <w:r>
              <w:t>Copy 4</w:t>
            </w:r>
          </w:p>
        </w:tc>
        <w:tc>
          <w:tcPr>
            <w:tcW w:type="dxa" w:w="5083"/>
          </w:tcPr>
          <w:p>
            <w:r>
              <w:t>ACC-0004 / Book 4 / AVAILABLE; no active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ReadBookCopyServiceImpl, Unit/Integration tests and Withdraw Book Copy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WITHDRAW is a logical state change. The row remains in the database with status WITHDRAWN.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