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T07 - Read Member - Initial API Contract</w:t>
      </w:r>
    </w:p>
    <w:p>
      <w:pPr>
        <w:jc w:val="center"/>
      </w:pPr>
      <w:r>
        <w:rPr>
          <w:b/>
        </w:rPr>
        <w:t>Student 07 | LIBRARY-FULLSTACK-V1</w:t>
      </w:r>
    </w:p>
    <w:p>
      <w:pPr>
        <w:pStyle w:val="Heading1"/>
      </w:pPr>
      <w:r>
        <w:t>1. Assignment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Student</w:t>
            </w:r>
          </w:p>
        </w:tc>
        <w:tc>
          <w:tcPr>
            <w:tcW w:type="dxa" w:w="5083"/>
          </w:tcPr>
          <w:p>
            <w:r>
              <w:t>Student 07</w:t>
            </w:r>
          </w:p>
        </w:tc>
      </w:tr>
      <w:tr>
        <w:tc>
          <w:tcPr>
            <w:tcW w:type="dxa" w:w="5083"/>
          </w:tcPr>
          <w:p>
            <w:r>
              <w:t>Track</w:t>
            </w:r>
          </w:p>
        </w:tc>
        <w:tc>
          <w:tcPr>
            <w:tcW w:type="dxa" w:w="5083"/>
          </w:tcPr>
          <w:p>
            <w:r>
              <w:t>T07</w:t>
            </w:r>
          </w:p>
        </w:tc>
      </w:tr>
      <w:tr>
        <w:tc>
          <w:tcPr>
            <w:tcW w:type="dxa" w:w="5083"/>
          </w:tcPr>
          <w:p>
            <w:r>
              <w:t>Operation</w:t>
            </w:r>
          </w:p>
        </w:tc>
        <w:tc>
          <w:tcPr>
            <w:tcW w:type="dxa" w:w="5083"/>
          </w:tcPr>
          <w:p>
            <w:r>
              <w:t>Read Member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07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GET /rest/members/{id}</w:t>
            </w:r>
          </w:p>
        </w:tc>
      </w:tr>
      <w:tr>
        <w:tc>
          <w:tcPr>
            <w:tcW w:type="dxa" w:w="5083"/>
          </w:tcPr>
          <w:p>
            <w:r>
              <w:t>Service Interface</w:t>
            </w:r>
          </w:p>
        </w:tc>
        <w:tc>
          <w:tcPr>
            <w:tcW w:type="dxa" w:w="5083"/>
          </w:tcPr>
          <w:p>
            <w:r>
              <w:t>ReadMemberService</w:t>
            </w:r>
          </w:p>
        </w:tc>
      </w:tr>
      <w:tr>
        <w:tc>
          <w:tcPr>
            <w:tcW w:type="dxa" w:w="5083"/>
          </w:tcPr>
          <w:p>
            <w:r>
              <w:t>Method</w:t>
            </w:r>
          </w:p>
        </w:tc>
        <w:tc>
          <w:tcPr>
            <w:tcW w:type="dxa" w:w="5083"/>
          </w:tcPr>
          <w:p>
            <w:r>
              <w:t>MemberResponseDto readMember(Long id)</w:t>
            </w:r>
          </w:p>
        </w:tc>
      </w:tr>
      <w:tr>
        <w:tc>
          <w:tcPr>
            <w:tcW w:type="dxa" w:w="5083"/>
          </w:tcPr>
          <w:p>
            <w:r>
              <w:t>Success Response Code</w:t>
            </w:r>
          </w:p>
        </w:tc>
        <w:tc>
          <w:tcPr>
            <w:tcW w:type="dxa" w:w="5083"/>
          </w:tcPr>
          <w:p>
            <w:r>
              <w:t>00</w:t>
            </w:r>
          </w:p>
        </w:tc>
      </w:tr>
      <w:tr>
        <w:tc>
          <w:tcPr>
            <w:tcW w:type="dxa" w:w="5083"/>
          </w:tcPr>
          <w:p>
            <w:r>
              <w:t>Success Message</w:t>
            </w:r>
          </w:p>
        </w:tc>
        <w:tc>
          <w:tcPr>
            <w:tcW w:type="dxa" w:w="5083"/>
          </w:tcPr>
          <w:p>
            <w:r>
              <w:t>Member Read Successfully</w:t>
            </w:r>
          </w:p>
        </w:tc>
      </w:tr>
    </w:tbl>
    <w:p>
      <w:pPr>
        <w:pStyle w:val="Heading1"/>
      </w:pPr>
      <w:r>
        <w:t>2. Fixed JSON Response Envelope</w:t>
      </w:r>
    </w:p>
    <w:p>
      <w:pPr>
        <w:spacing w:after="120"/>
        <w:ind w:left="187"/>
        <w:shd w:fill="F3F4F6"/>
      </w:pPr>
      <w:r>
        <w:rPr>
          <w:rFonts w:ascii="Consolas" w:hAnsi="Consolas"/>
          <w:sz w:val="16"/>
        </w:rPr>
        <w:t>{</w:t>
        <w:br/>
        <w:t xml:space="preserve">  "serviceCode": "07",</w:t>
        <w:br/>
        <w:t xml:space="preserve">  "responseCode": "00",</w:t>
        <w:br/>
        <w:t xml:space="preserve">  "message": "Member Read Successfully",</w:t>
        <w:br/>
        <w:t xml:space="preserve">  "data": { }</w:t>
        <w:br/>
        <w:t>}</w:t>
      </w:r>
    </w:p>
    <w:p>
      <w:pPr>
        <w:pStyle w:val="Heading1"/>
      </w:pPr>
      <w:r>
        <w:t>3. Member DTO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registrationNumber</w:t>
            </w:r>
          </w:p>
        </w:tc>
        <w:tc>
          <w:tcPr>
            <w:tcW w:type="dxa" w:w="5083"/>
          </w:tcPr>
          <w:p>
            <w:r>
              <w:t>Member business key, for example REG-CSE-001</w:t>
            </w:r>
          </w:p>
        </w:tc>
      </w:tr>
      <w:tr>
        <w:tc>
          <w:tcPr>
            <w:tcW w:type="dxa" w:w="5083"/>
          </w:tcPr>
          <w:p>
            <w:r>
              <w:t>fullName</w:t>
            </w:r>
          </w:p>
        </w:tc>
        <w:tc>
          <w:tcPr>
            <w:tcW w:type="dxa" w:w="5083"/>
          </w:tcPr>
          <w:p>
            <w:r>
              <w:t>Member full name</w:t>
            </w:r>
          </w:p>
        </w:tc>
      </w:tr>
      <w:tr>
        <w:tc>
          <w:tcPr>
            <w:tcW w:type="dxa" w:w="5083"/>
          </w:tcPr>
          <w:p>
            <w:r>
              <w:t>email</w:t>
            </w:r>
          </w:p>
        </w:tc>
        <w:tc>
          <w:tcPr>
            <w:tcW w:type="dxa" w:w="5083"/>
          </w:tcPr>
          <w:p>
            <w:r>
              <w:t>Member email address</w:t>
            </w:r>
          </w:p>
        </w:tc>
      </w:tr>
      <w:tr>
        <w:tc>
          <w:tcPr>
            <w:tcW w:type="dxa" w:w="5083"/>
          </w:tcPr>
          <w:p>
            <w:r>
              <w:t>departmentId</w:t>
            </w:r>
          </w:p>
        </w:tc>
        <w:tc>
          <w:tcPr>
            <w:tcW w:type="dxa" w:w="5083"/>
          </w:tcPr>
          <w:p>
            <w:r>
              <w:t>Department database identifier</w:t>
            </w:r>
          </w:p>
        </w:tc>
      </w:tr>
      <w:tr>
        <w:tc>
          <w:tcPr>
            <w:tcW w:type="dxa" w:w="5083"/>
          </w:tcPr>
          <w:p>
            <w:r>
              <w:t>active</w:t>
            </w:r>
          </w:p>
        </w:tc>
        <w:tc>
          <w:tcPr>
            <w:tcW w:type="dxa" w:w="5083"/>
          </w:tcPr>
          <w:p>
            <w:r>
              <w:t>Current/inactive state returned in MemberResponseDto</w:t>
            </w:r>
          </w:p>
        </w:tc>
      </w:tr>
    </w:tbl>
    <w:p>
      <w:pPr>
        <w:pStyle w:val="Heading1"/>
      </w:pPr>
      <w:r>
        <w:t>4. Training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1</w:t>
            </w:r>
          </w:p>
        </w:tc>
        <w:tc>
          <w:tcPr>
            <w:tcW w:type="dxa" w:w="5083"/>
          </w:tcPr>
          <w:p>
            <w:r>
              <w:t>REG-CSE-001 / Arun Kumar / ACTIVE</w:t>
            </w:r>
          </w:p>
        </w:tc>
      </w:tr>
      <w:tr>
        <w:tc>
          <w:tcPr>
            <w:tcW w:type="dxa" w:w="5083"/>
          </w:tcPr>
          <w:p>
            <w:r>
              <w:t>2</w:t>
            </w:r>
          </w:p>
        </w:tc>
        <w:tc>
          <w:tcPr>
            <w:tcW w:type="dxa" w:w="5083"/>
          </w:tcPr>
          <w:p>
            <w:r>
              <w:t>REG-ECE-001 / Priya Devi / ACTIVE</w:t>
            </w:r>
          </w:p>
        </w:tc>
      </w:tr>
      <w:tr>
        <w:tc>
          <w:tcPr>
            <w:tcW w:type="dxa" w:w="5083"/>
          </w:tcPr>
          <w:p>
            <w:r>
              <w:t>3</w:t>
            </w:r>
          </w:p>
        </w:tc>
        <w:tc>
          <w:tcPr>
            <w:tcW w:type="dxa" w:w="5083"/>
          </w:tcPr>
          <w:p>
            <w:r>
              <w:t>REG-CIV-001 / Legacy Member / INACTIVE</w:t>
            </w:r>
          </w:p>
        </w:tc>
      </w:tr>
      <w:tr>
        <w:tc>
          <w:tcPr>
            <w:tcW w:type="dxa" w:w="5083"/>
          </w:tcPr>
          <w:p>
            <w:r>
              <w:t>4</w:t>
            </w:r>
          </w:p>
        </w:tc>
        <w:tc>
          <w:tcPr>
            <w:tcW w:type="dxa" w:w="5083"/>
          </w:tcPr>
          <w:p>
            <w:r>
              <w:t>REG-MECH-001 / Meena S / ACTIVE</w:t>
            </w:r>
          </w:p>
        </w:tc>
      </w:tr>
    </w:tbl>
    <w:p>
      <w:pPr>
        <w:pStyle w:val="Heading1"/>
      </w:pPr>
      <w:r>
        <w:t>5. Ownership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Presenter</w:t>
            </w:r>
          </w:p>
        </w:tc>
        <w:tc>
          <w:tcPr>
            <w:tcW w:type="dxa" w:w="5083"/>
          </w:tcPr>
          <w:p>
            <w:r>
              <w:t>REST Controller, DTOs, DOs, Mapper, DAO base, Flyway data, common response, Thymeleaf shell</w:t>
            </w:r>
          </w:p>
        </w:tc>
      </w:tr>
      <w:tr>
        <w:tc>
          <w:tcPr>
            <w:tcW w:type="dxa" w:w="5083"/>
          </w:tcPr>
          <w:p>
            <w:r>
              <w:t>Student</w:t>
            </w:r>
          </w:p>
        </w:tc>
        <w:tc>
          <w:tcPr>
            <w:tcW w:type="dxa" w:w="5083"/>
          </w:tcPr>
          <w:p>
            <w:r>
              <w:t>ReadMemberServiceImpl, track tests, Deactivate Member UI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t>Only the successful API behavior is supplied at the beginning. Follow the Progressive Development Guide in order.</w:t>
            </w:r>
          </w:p>
        </w:tc>
      </w:tr>
    </w:tbl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