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T04 - Deactivate Department - Initial API Contract</w:t>
      </w:r>
    </w:p>
    <w:p>
      <w:pPr>
        <w:jc w:val="center"/>
      </w:pPr>
      <w:r>
        <w:rPr>
          <w:b/>
        </w:rPr>
        <w:t>Student 04 | LIBRARY-FULLSTACK-V1</w:t>
      </w:r>
    </w:p>
    <w:p>
      <w:pPr>
        <w:pStyle w:val="Heading1"/>
      </w:pPr>
      <w:r>
        <w:t>1. Purpose</w:t>
      </w:r>
    </w:p>
    <w:p>
      <w:r>
        <w:t>This contract defines the API information available when development starts. The REST Controller is supplied by the Presenter. The student implements the assigned service and tests against this fixed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Track</w:t>
            </w:r>
          </w:p>
        </w:tc>
        <w:tc>
          <w:tcPr>
            <w:tcW w:type="dxa" w:w="5040"/>
          </w:tcPr>
          <w:p>
            <w:r>
              <w:t>T04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Student 04</w:t>
            </w:r>
          </w:p>
        </w:tc>
      </w:tr>
      <w:tr>
        <w:tc>
          <w:tcPr>
            <w:tcW w:type="dxa" w:w="5040"/>
          </w:tcPr>
          <w:p>
            <w:r>
              <w:t>Operation</w:t>
            </w:r>
          </w:p>
        </w:tc>
        <w:tc>
          <w:tcPr>
            <w:tcW w:type="dxa" w:w="5040"/>
          </w:tcPr>
          <w:p>
            <w:r>
              <w:t>Deactivate Department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04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DELETE /rest/departments/{id}</w:t>
            </w:r>
          </w:p>
        </w:tc>
      </w:tr>
      <w:tr>
        <w:tc>
          <w:tcPr>
            <w:tcW w:type="dxa" w:w="5040"/>
          </w:tcPr>
          <w:p>
            <w:r>
              <w:t>Service interface</w:t>
            </w:r>
          </w:p>
        </w:tc>
        <w:tc>
          <w:tcPr>
            <w:tcW w:type="dxa" w:w="5040"/>
          </w:tcPr>
          <w:p>
            <w:r>
              <w:t>DeleteDepartmentService</w:t>
            </w:r>
          </w:p>
        </w:tc>
      </w:tr>
      <w:tr>
        <w:tc>
          <w:tcPr>
            <w:tcW w:type="dxa" w:w="5040"/>
          </w:tcPr>
          <w:p>
            <w:r>
              <w:t>Success response code</w:t>
            </w:r>
          </w:p>
        </w:tc>
        <w:tc>
          <w:tcPr>
            <w:tcW w:type="dxa" w:w="5040"/>
          </w:tcPr>
          <w:p>
            <w:r>
              <w:t>00</w:t>
            </w:r>
          </w:p>
        </w:tc>
      </w:tr>
      <w:tr>
        <w:tc>
          <w:tcPr>
            <w:tcW w:type="dxa" w:w="5040"/>
          </w:tcPr>
          <w:p>
            <w:r>
              <w:t>Success message</w:t>
            </w:r>
          </w:p>
        </w:tc>
        <w:tc>
          <w:tcPr>
            <w:tcW w:type="dxa" w:w="5040"/>
          </w:tcPr>
          <w:p>
            <w:r>
              <w:t>Department Deactivated Successfully</w:t>
            </w:r>
          </w:p>
        </w:tc>
      </w:tr>
    </w:tbl>
    <w:p>
      <w:pPr>
        <w:pStyle w:val="Heading1"/>
      </w:pPr>
      <w:r>
        <w:t>2. Common JSON Response Envelope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{</w:t>
        <w:br/>
        <w:t xml:space="preserve">  "serviceCode": "04",</w:t>
        <w:br/>
        <w:t xml:space="preserve">  "responseCode": "00",</w:t>
        <w:br/>
        <w:t xml:space="preserve">  "message": "Department Deactivated Successfully",</w:t>
        <w:br/>
        <w:t xml:space="preserve">  "data": {}</w:t>
        <w:br/>
        <w:t>}</w:t>
      </w:r>
    </w:p>
    <w:p>
      <w:pPr>
        <w:pStyle w:val="Heading1"/>
      </w:pPr>
      <w:r>
        <w:t>3. Department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departmentId</w:t>
            </w:r>
          </w:p>
        </w:tc>
        <w:tc>
          <w:tcPr>
            <w:tcW w:type="dxa" w:w="5040"/>
          </w:tcPr>
          <w:p>
            <w:r>
              <w:t>Database identifier</w:t>
            </w:r>
          </w:p>
        </w:tc>
      </w:tr>
      <w:tr>
        <w:tc>
          <w:tcPr>
            <w:tcW w:type="dxa" w:w="5040"/>
          </w:tcPr>
          <w:p>
            <w:r>
              <w:t>departmentCode</w:t>
            </w:r>
          </w:p>
        </w:tc>
        <w:tc>
          <w:tcPr>
            <w:tcW w:type="dxa" w:w="5040"/>
          </w:tcPr>
          <w:p>
            <w:r>
              <w:t>Business code such as CSE</w:t>
            </w:r>
          </w:p>
        </w:tc>
      </w:tr>
      <w:tr>
        <w:tc>
          <w:tcPr>
            <w:tcW w:type="dxa" w:w="5040"/>
          </w:tcPr>
          <w:p>
            <w:r>
              <w:t>departmentName</w:t>
            </w:r>
          </w:p>
        </w:tc>
        <w:tc>
          <w:tcPr>
            <w:tcW w:type="dxa" w:w="5040"/>
          </w:tcPr>
          <w:p>
            <w:r>
              <w:t>Department display name</w:t>
            </w:r>
          </w:p>
        </w:tc>
      </w:tr>
      <w:tr>
        <w:tc>
          <w:tcPr>
            <w:tcW w:type="dxa" w:w="5040"/>
          </w:tcPr>
          <w:p>
            <w:r>
              <w:t>active</w:t>
            </w:r>
          </w:p>
        </w:tc>
        <w:tc>
          <w:tcPr>
            <w:tcW w:type="dxa" w:w="5040"/>
          </w:tcPr>
          <w:p>
            <w:r>
              <w:t>Current/active state</w:t>
            </w:r>
          </w:p>
        </w:tc>
      </w:tr>
    </w:tbl>
    <w:p>
      <w:pPr>
        <w:pStyle w:val="Heading1"/>
      </w:pPr>
      <w:r>
        <w:t>4. Deterministic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1 / CSE</w:t>
            </w:r>
          </w:p>
        </w:tc>
        <w:tc>
          <w:tcPr>
            <w:tcW w:type="dxa" w:w="5040"/>
          </w:tcPr>
          <w:p>
            <w:r>
              <w:t>Computer Science and Engineering - ACTIVE</w:t>
            </w:r>
          </w:p>
        </w:tc>
      </w:tr>
      <w:tr>
        <w:tc>
          <w:tcPr>
            <w:tcW w:type="dxa" w:w="5040"/>
          </w:tcPr>
          <w:p>
            <w:r>
              <w:t>2 / ECE</w:t>
            </w:r>
          </w:p>
        </w:tc>
        <w:tc>
          <w:tcPr>
            <w:tcW w:type="dxa" w:w="5040"/>
          </w:tcPr>
          <w:p>
            <w:r>
              <w:t>Electronics and Communication Engineering - ACTIVE</w:t>
            </w:r>
          </w:p>
        </w:tc>
      </w:tr>
      <w:tr>
        <w:tc>
          <w:tcPr>
            <w:tcW w:type="dxa" w:w="5040"/>
          </w:tcPr>
          <w:p>
            <w:r>
              <w:t>3 / CIVIL</w:t>
            </w:r>
          </w:p>
        </w:tc>
        <w:tc>
          <w:tcPr>
            <w:tcW w:type="dxa" w:w="5040"/>
          </w:tcPr>
          <w:p>
            <w:r>
              <w:t>Civil Engineering - INACTIVE</w:t>
            </w:r>
          </w:p>
        </w:tc>
      </w:tr>
      <w:tr>
        <w:tc>
          <w:tcPr>
            <w:tcW w:type="dxa" w:w="5040"/>
          </w:tcPr>
          <w:p>
            <w:r>
              <w:t>Member 101</w:t>
            </w:r>
          </w:p>
        </w:tc>
        <w:tc>
          <w:tcPr>
            <w:tcW w:type="dxa" w:w="5040"/>
          </w:tcPr>
          <w:p>
            <w:r>
              <w:t>Active Member assigned to CSE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Presenter</w:t>
            </w:r>
          </w:p>
        </w:tc>
        <w:tc>
          <w:tcPr>
            <w:tcW w:type="dxa" w:w="5040"/>
          </w:tcPr>
          <w:p>
            <w:r>
              <w:t>REST Controller, DTOs, DOs, Mapper, DAO/base queries, Flyway, common response contract, Thymeleaf framework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DeleteDepartmentService implementation, Unit Tests, Integration Tests, Create Department UI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