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T16 - Create Category - Initial API Contract</w:t>
      </w:r>
    </w:p>
    <w:p>
      <w:pPr>
        <w:jc w:val="center"/>
      </w:pPr>
      <w:r>
        <w:rPr>
          <w:b/>
        </w:rPr>
        <w:t>Student 16 | LIBRARY-FULLSTACK-V1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T16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16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Create Category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16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/rest/categories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CreateCategoryService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CategoryResponseDto createCategory(CategoryCreateRequestDto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Category Created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"16",</w:t>
        <w:br/>
        <w:t xml:space="preserve">  "responseCode": "00",</w:t>
        <w:br/>
        <w:t xml:space="preserve">  "message": "Category Created Successfully",</w:t>
        <w:br/>
        <w:t xml:space="preserve">  "data": { }</w:t>
        <w:br/>
        <w:t>}</w:t>
      </w:r>
    </w:p>
    <w:p>
      <w:pPr>
        <w:pStyle w:val="Heading1"/>
      </w:pPr>
      <w:r>
        <w:t>3. Category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categoryId</w:t>
            </w:r>
          </w:p>
        </w:tc>
        <w:tc>
          <w:tcPr>
            <w:tcW w:type="dxa" w:w="5083"/>
          </w:tcPr>
          <w:p>
            <w:r>
              <w:t>Database identifier</w:t>
            </w:r>
          </w:p>
        </w:tc>
      </w:tr>
      <w:tr>
        <w:tc>
          <w:tcPr>
            <w:tcW w:type="dxa" w:w="5083"/>
          </w:tcPr>
          <w:p>
            <w:r>
              <w:t>categoryCode</w:t>
            </w:r>
          </w:p>
        </w:tc>
        <w:tc>
          <w:tcPr>
            <w:tcW w:type="dxa" w:w="5083"/>
          </w:tcPr>
          <w:p>
            <w:r>
              <w:t>Business code such as PROGRAMMING</w:t>
            </w:r>
          </w:p>
        </w:tc>
      </w:tr>
      <w:tr>
        <w:tc>
          <w:tcPr>
            <w:tcW w:type="dxa" w:w="5083"/>
          </w:tcPr>
          <w:p>
            <w:r>
              <w:t>categoryName</w:t>
            </w:r>
          </w:p>
        </w:tc>
        <w:tc>
          <w:tcPr>
            <w:tcW w:type="dxa" w:w="5083"/>
          </w:tcPr>
          <w:p>
            <w:r>
              <w:t>Display name such as Programming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 logical state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 / PROGRAMMING</w:t>
            </w:r>
          </w:p>
        </w:tc>
        <w:tc>
          <w:tcPr>
            <w:tcW w:type="dxa" w:w="5083"/>
          </w:tcPr>
          <w:p>
            <w:r>
              <w:t>Programming - ACTIVE</w:t>
            </w:r>
          </w:p>
        </w:tc>
      </w:tr>
      <w:tr>
        <w:tc>
          <w:tcPr>
            <w:tcW w:type="dxa" w:w="5083"/>
          </w:tcPr>
          <w:p>
            <w:r>
              <w:t>2 / DATABASE</w:t>
            </w:r>
          </w:p>
        </w:tc>
        <w:tc>
          <w:tcPr>
            <w:tcW w:type="dxa" w:w="5083"/>
          </w:tcPr>
          <w:p>
            <w:r>
              <w:t>Database Systems - ACTIVE</w:t>
            </w:r>
          </w:p>
        </w:tc>
      </w:tr>
      <w:tr>
        <w:tc>
          <w:tcPr>
            <w:tcW w:type="dxa" w:w="5083"/>
          </w:tcPr>
          <w:p>
            <w:r>
              <w:t>3 / LEGACY</w:t>
            </w:r>
          </w:p>
        </w:tc>
        <w:tc>
          <w:tcPr>
            <w:tcW w:type="dxa" w:w="5083"/>
          </w:tcPr>
          <w:p>
            <w:r>
              <w:t>Archived Category - INACTIVE</w:t>
            </w:r>
          </w:p>
        </w:tc>
      </w:tr>
      <w:tr>
        <w:tc>
          <w:tcPr>
            <w:tcW w:type="dxa" w:w="5083"/>
          </w:tcPr>
          <w:p>
            <w:r>
              <w:t>4 / NETWORK</w:t>
            </w:r>
          </w:p>
        </w:tc>
        <w:tc>
          <w:tcPr>
            <w:tcW w:type="dxa" w:w="5083"/>
          </w:tcPr>
          <w:p>
            <w:r>
              <w:t>Computer Networks - ACTIVE and unused by current Books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 base, Flyway, JSON envelope, Thymeleaf Controller/page framework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CreateCategoryServiceImpl, tests and Update Category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API Contract gives the successful starting behavior. Follow the Progressive Development Guide in sequence.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