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22 - Read Publisher Progressive Testing Guide</w:t>
      </w:r>
    </w:p>
    <w:p>
      <w:pPr>
        <w:jc w:val="center"/>
      </w:pPr>
      <w:r>
        <w:rPr>
          <w:b/>
        </w:rPr>
        <w:t>T22 | Publisher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Read Publisher</w:t>
            </w:r>
          </w:p>
        </w:tc>
      </w:tr>
      <w:tr>
        <w:tc>
          <w:tcPr>
            <w:tcW w:type="dxa" w:w="5083"/>
          </w:tcPr>
          <w:p>
            <w:r>
              <w:t>Service</w:t>
            </w:r>
          </w:p>
        </w:tc>
        <w:tc>
          <w:tcPr>
            <w:tcW w:type="dxa" w:w="5083"/>
          </w:tcPr>
          <w:p>
            <w:r>
              <w:t>ReadPublisherService</w:t>
            </w:r>
          </w:p>
        </w:tc>
      </w:tr>
      <w:tr>
        <w:tc>
          <w:tcPr>
            <w:tcW w:type="dxa" w:w="5083"/>
          </w:tcPr>
          <w:p>
            <w:r>
              <w:t>Implementation</w:t>
            </w:r>
          </w:p>
        </w:tc>
        <w:tc>
          <w:tcPr>
            <w:tcW w:type="dxa" w:w="5083"/>
          </w:tcPr>
          <w:p>
            <w:r>
              <w:t>ReadPublisherServiceImpl</w:t>
            </w:r>
          </w:p>
        </w:tc>
      </w:tr>
      <w:tr>
        <w:tc>
          <w:tcPr>
            <w:tcW w:type="dxa" w:w="5083"/>
          </w:tcPr>
          <w:p>
            <w:r>
              <w:t>Endpoint</w:t>
            </w:r>
          </w:p>
        </w:tc>
        <w:tc>
          <w:tcPr>
            <w:tcW w:type="dxa" w:w="5083"/>
          </w:tcPr>
          <w:p>
            <w:r>
              <w:t>GET /rest/publishers/{id}</w:t>
            </w:r>
          </w:p>
        </w:tc>
      </w:tr>
      <w:tr>
        <w:tc>
          <w:tcPr>
            <w:tcW w:type="dxa" w:w="5083"/>
          </w:tcPr>
          <w:p>
            <w:r>
              <w:t>Service code</w:t>
            </w:r>
          </w:p>
        </w:tc>
        <w:tc>
          <w:tcPr>
            <w:tcW w:type="dxa" w:w="5083"/>
          </w:tcPr>
          <w:p>
            <w:r>
              <w:t>17</w:t>
            </w:r>
          </w:p>
        </w:tc>
      </w:tr>
      <w:tr>
        <w:tc>
          <w:tcPr>
            <w:tcW w:type="dxa" w:w="5083"/>
          </w:tcPr>
          <w:p>
            <w:r>
              <w:t>Frontend assignment</w:t>
            </w:r>
          </w:p>
        </w:tc>
        <w:tc>
          <w:tcPr>
            <w:tcW w:type="dxa" w:w="5083"/>
          </w:tcPr>
          <w:p>
            <w:r>
              <w:t>Deactivate Publisher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ReadPublisherServiceImpl implements ReadPublisherService {</w:t>
        <w:br/>
        <w:t xml:space="preserve">    @Override</w:t>
        <w:br/>
        <w:t xml:space="preserve">    public PublisherResponseDto readPublisher(Long id) {</w:t>
        <w:br/>
        <w:t xml:space="preserve">        return null;</w:t>
        <w:br/>
        <w:t xml:space="preserve">    }</w:t>
        <w:br/>
        <w:t>}</w:t>
      </w:r>
    </w:p>
    <w:p>
      <w:pPr>
        <w:ind w:left="173"/>
        <w:shd w:fill="F3F4F6"/>
      </w:pPr>
      <w:r>
        <w:rPr>
          <w:rFonts w:ascii="Consolas" w:hAnsi="Consolas"/>
          <w:sz w:val="16"/>
        </w:rPr>
        <w:t>@ExtendWith(MockitoExtension.class)</w:t>
        <w:br/>
        <w:t>class ReadPublisherServiceImplTest {</w:t>
        <w:br/>
        <w:t xml:space="preserve">    @InjectMocks private ReadPublisherServiceImpl service;</w:t>
        <w:br/>
        <w:t xml:space="preserve">    @Test void shouldInvokeService() { /* call PublisherResponseDto readPublisher(Long id) */ }</w:t>
        <w:br/>
        <w:t>}</w:t>
      </w:r>
    </w:p>
    <w:p>
      <w:pPr>
        <w:pStyle w:val="Heading1"/>
      </w:pPr>
      <w:r>
        <w:t>3. Add the Normal Successful Behavior</w:t>
      </w:r>
    </w:p>
    <w:p>
      <w:pPr>
        <w:ind w:left="173"/>
        <w:shd w:fill="F3F4F6"/>
      </w:pPr>
      <w:r>
        <w:rPr>
          <w:rFonts w:ascii="Consolas" w:hAnsi="Consolas"/>
          <w:sz w:val="16"/>
        </w:rPr>
        <w:t>@Autowired private PublisherDao publisherDao;</w:t>
        <w:br/>
        <w:t>@Autowired private PublisherDtoDoMapper mapper;</w:t>
        <w:br/>
        <w:br/>
        <w:t>@Override</w:t>
        <w:br/>
        <w:t>public PublisherResponseDto readPublisher(Long id) {</w:t>
        <w:br/>
        <w:t xml:space="preserve">    PublisherDO publisher = publisherDao.findById(id).orElse(null);</w:t>
        <w:br/>
        <w:t xml:space="preserve">    return mapper.toResponse(publisher);</w:t>
        <w:br/>
        <w:t>}</w:t>
      </w:r>
    </w:p>
    <w:p>
      <w:r>
        <w:t>Add one positive Mockito Unit Test for a valid request. Assert the returned Publisher values and verify the expected DAO call. Keep that test permanently as a regression test.</w:t>
      </w:r>
    </w:p>
    <w:p>
      <w:pPr>
        <w:pStyle w:val="Heading1"/>
      </w:pPr>
      <w:r>
        <w:t>4. Try the Next Realistic Condition</w:t>
      </w:r>
    </w:p>
    <w:p>
      <w:r>
        <w:t>After a successful Read works, request Publisher ID 999. Configure the mock DAO to return Optional.empty() and observe the current behavior.</w:t>
      </w:r>
    </w:p>
    <w:p>
      <w:pPr>
        <w:ind w:left="173"/>
        <w:shd w:fill="F3F4F6"/>
      </w:pPr>
      <w:r>
        <w:rPr>
          <w:rFonts w:ascii="Consolas" w:hAnsi="Consolas"/>
          <w:sz w:val="16"/>
        </w:rPr>
        <w:t>@Test</w:t>
        <w:br/>
        <w:t>void observeCurrentBehavior() {</w:t>
        <w:br/>
        <w:t xml:space="preserve">    when(publisherDao.findById(999L)).thenReturn(Optional.empty());</w:t>
        <w:br/>
        <w:t xml:space="preserve">    service.readPublisher(999L);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(id == null) throw new IllegalArgumentException("Publisher ID is required");</w:t>
        <w:br/>
        <w:t>PublisherDO publisher = publisherDao.findCurrentById(id).orElseThrow(() -&gt; new IllegalArgumentException("Publisher not found"));</w:t>
        <w:br/>
        <w:t>return mapper.toResponse(publisher);</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publisher_id, publisher_code, publisher_name, is_active FROM tbl_publisher ORDER BY publisher_id;</w:t>
        <w:br/>
        <w:t>SELECT book_id, isbn, title, fk_publisher,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Publisher 1</w:t>
            </w:r>
          </w:p>
        </w:tc>
        <w:tc>
          <w:tcPr>
            <w:tcW w:type="dxa" w:w="5083"/>
          </w:tcPr>
          <w:p>
            <w:r>
              <w:t>PUB-PRENTICE - ACTIVE and used by active Books</w:t>
            </w:r>
          </w:p>
        </w:tc>
      </w:tr>
      <w:tr>
        <w:tc>
          <w:tcPr>
            <w:tcW w:type="dxa" w:w="5083"/>
          </w:tcPr>
          <w:p>
            <w:r>
              <w:t>Publisher 2</w:t>
            </w:r>
          </w:p>
        </w:tc>
        <w:tc>
          <w:tcPr>
            <w:tcW w:type="dxa" w:w="5083"/>
          </w:tcPr>
          <w:p>
            <w:r>
              <w:t>PUB-ADDISON - ACTIVE</w:t>
            </w:r>
          </w:p>
        </w:tc>
      </w:tr>
      <w:tr>
        <w:tc>
          <w:tcPr>
            <w:tcW w:type="dxa" w:w="5083"/>
          </w:tcPr>
          <w:p>
            <w:r>
              <w:t>Publisher 3</w:t>
            </w:r>
          </w:p>
        </w:tc>
        <w:tc>
          <w:tcPr>
            <w:tcW w:type="dxa" w:w="5083"/>
          </w:tcPr>
          <w:p>
            <w:r>
              <w:t>PUB-OLD - INACTIVE</w:t>
            </w:r>
          </w:p>
        </w:tc>
      </w:tr>
      <w:tr>
        <w:tc>
          <w:tcPr>
            <w:tcW w:type="dxa" w:w="5083"/>
          </w:tcPr>
          <w:p>
            <w:r>
              <w:t>Publisher 5</w:t>
            </w:r>
          </w:p>
        </w:tc>
        <w:tc>
          <w:tcPr>
            <w:tcW w:type="dxa" w:w="5083"/>
          </w:tcPr>
          <w:p>
            <w:r>
              <w:t>PUB-SAGE - ACTIVE and unused by current Books</w:t>
            </w:r>
          </w:p>
        </w:tc>
      </w:tr>
    </w:tbl>
    <w:p>
      <w:pPr>
        <w:pStyle w:val="Heading1"/>
      </w:pPr>
      <w:r>
        <w:t>10. Main Integration Test</w:t>
      </w:r>
    </w:p>
    <w:p>
      <w:r>
        <w:t>Publisher ID 3 physically exists as PUB-OLD but is inactive. Normal Read must not expose this inactive row.</w:t>
      </w:r>
    </w:p>
    <w:p>
      <w:pPr>
        <w:ind w:left="173"/>
        <w:shd w:fill="F3F4F6"/>
      </w:pPr>
      <w:r>
        <w:rPr>
          <w:rFonts w:ascii="Consolas" w:hAnsi="Consolas"/>
          <w:sz w:val="16"/>
        </w:rPr>
        <w:t>Read ID 2 successfully, then assert ID 3 (inactive PUB-OLD) is not exposed.</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22 implements the Deactivate Publisher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