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T47 - Read Book Return - Initial API Contract</w:t>
      </w:r>
    </w:p>
    <w:p>
      <w:pPr>
        <w:jc w:val="center"/>
      </w:pPr>
      <w:r>
        <w:rPr>
          <w:b/>
        </w:rPr>
        <w:t>Student 47 | LIBRARY-FULLSTACK-V1 | Book Return Module</w:t>
      </w:r>
    </w:p>
    <w:p>
      <w:pPr>
        <w:pStyle w:val="Heading1"/>
      </w:pPr>
      <w:r>
        <w:t>1. Fixed Assignment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Track</w:t>
            </w:r>
          </w:p>
        </w:tc>
        <w:tc>
          <w:tcPr>
            <w:tcW w:type="dxa" w:w="5083"/>
          </w:tcPr>
          <w:p>
            <w:r>
              <w:t>T47</w:t>
            </w:r>
          </w:p>
        </w:tc>
      </w:tr>
      <w:tr>
        <w:tc>
          <w:tcPr>
            <w:tcW w:type="dxa" w:w="5083"/>
          </w:tcPr>
          <w:p>
            <w:r>
              <w:t>Student</w:t>
            </w:r>
          </w:p>
        </w:tc>
        <w:tc>
          <w:tcPr>
            <w:tcW w:type="dxa" w:w="5083"/>
          </w:tcPr>
          <w:p>
            <w:r>
              <w:t>Student 47</w:t>
            </w:r>
          </w:p>
        </w:tc>
      </w:tr>
      <w:tr>
        <w:tc>
          <w:tcPr>
            <w:tcW w:type="dxa" w:w="5083"/>
          </w:tcPr>
          <w:p>
            <w:r>
              <w:t>Operation</w:t>
            </w:r>
          </w:p>
        </w:tc>
        <w:tc>
          <w:tcPr>
            <w:tcW w:type="dxa" w:w="5083"/>
          </w:tcPr>
          <w:p>
            <w:r>
              <w:t>Read Book Return</w:t>
            </w:r>
          </w:p>
        </w:tc>
      </w:tr>
      <w:tr>
        <w:tc>
          <w:tcPr>
            <w:tcW w:type="dxa" w:w="5083"/>
          </w:tcPr>
          <w:p>
            <w:r>
              <w:t>Service Code</w:t>
            </w:r>
          </w:p>
        </w:tc>
        <w:tc>
          <w:tcPr>
            <w:tcW w:type="dxa" w:w="5083"/>
          </w:tcPr>
          <w:p>
            <w:r>
              <w:t>47</w:t>
            </w:r>
          </w:p>
        </w:tc>
      </w:tr>
      <w:tr>
        <w:tc>
          <w:tcPr>
            <w:tcW w:type="dxa" w:w="5083"/>
          </w:tcPr>
          <w:p>
            <w:r>
              <w:t>Endpoint</w:t>
            </w:r>
          </w:p>
        </w:tc>
        <w:tc>
          <w:tcPr>
            <w:tcW w:type="dxa" w:w="5083"/>
          </w:tcPr>
          <w:p>
            <w:r>
              <w:t>GET /rest/returns/{id}</w:t>
            </w:r>
          </w:p>
        </w:tc>
      </w:tr>
      <w:tr>
        <w:tc>
          <w:tcPr>
            <w:tcW w:type="dxa" w:w="5083"/>
          </w:tcPr>
          <w:p>
            <w:r>
              <w:t>Service Interface</w:t>
            </w:r>
          </w:p>
        </w:tc>
        <w:tc>
          <w:tcPr>
            <w:tcW w:type="dxa" w:w="5083"/>
          </w:tcPr>
          <w:p>
            <w:r>
              <w:t>ReadBookReturnService</w:t>
            </w:r>
          </w:p>
        </w:tc>
      </w:tr>
      <w:tr>
        <w:tc>
          <w:tcPr>
            <w:tcW w:type="dxa" w:w="5083"/>
          </w:tcPr>
          <w:p>
            <w:r>
              <w:t>Method</w:t>
            </w:r>
          </w:p>
        </w:tc>
        <w:tc>
          <w:tcPr>
            <w:tcW w:type="dxa" w:w="5083"/>
          </w:tcPr>
          <w:p>
            <w:r>
              <w:t>BookReturnResponseDto readBookReturn(Long id)</w:t>
            </w:r>
          </w:p>
        </w:tc>
      </w:tr>
      <w:tr>
        <w:tc>
          <w:tcPr>
            <w:tcW w:type="dxa" w:w="5083"/>
          </w:tcPr>
          <w:p>
            <w:r>
              <w:t>Success responseCode</w:t>
            </w:r>
          </w:p>
        </w:tc>
        <w:tc>
          <w:tcPr>
            <w:tcW w:type="dxa" w:w="5083"/>
          </w:tcPr>
          <w:p>
            <w:r>
              <w:t>00</w:t>
            </w:r>
          </w:p>
        </w:tc>
      </w:tr>
      <w:tr>
        <w:tc>
          <w:tcPr>
            <w:tcW w:type="dxa" w:w="5083"/>
          </w:tcPr>
          <w:p>
            <w:r>
              <w:t>Success Message</w:t>
            </w:r>
          </w:p>
        </w:tc>
        <w:tc>
          <w:tcPr>
            <w:tcW w:type="dxa" w:w="5083"/>
          </w:tcPr>
          <w:p>
            <w:r>
              <w:t>Book Return Read Successfully</w:t>
            </w:r>
          </w:p>
        </w:tc>
      </w:tr>
    </w:tbl>
    <w:p>
      <w:pPr>
        <w:pStyle w:val="Heading1"/>
      </w:pPr>
      <w:r>
        <w:t>2. Frozen JSON Envelope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{</w:t>
        <w:br/>
        <w:t xml:space="preserve"> "serviceCode":"47",</w:t>
        <w:br/>
        <w:t xml:space="preserve"> "responseCode":"00",</w:t>
        <w:br/>
        <w:t xml:space="preserve"> "message":"Book Return Read Successfully",</w:t>
        <w:br/>
        <w:t xml:space="preserve"> "data":{}</w:t>
        <w:br/>
        <w:t>}</w:t>
      </w:r>
    </w:p>
    <w:p>
      <w:pPr>
        <w:pStyle w:val="Heading1"/>
      </w:pPr>
      <w:r>
        <w:t>3. 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bookReturnId</w:t>
            </w:r>
          </w:p>
        </w:tc>
        <w:tc>
          <w:tcPr>
            <w:tcW w:type="dxa" w:w="5083"/>
          </w:tcPr>
          <w:p>
            <w:r>
              <w:t>Database ID; response only</w:t>
            </w:r>
          </w:p>
        </w:tc>
      </w:tr>
      <w:tr>
        <w:tc>
          <w:tcPr>
            <w:tcW w:type="dxa" w:w="5083"/>
          </w:tcPr>
          <w:p>
            <w:r>
              <w:t>returnNumber</w:t>
            </w:r>
          </w:p>
        </w:tc>
        <w:tc>
          <w:tcPr>
            <w:tcW w:type="dxa" w:w="5083"/>
          </w:tcPr>
          <w:p>
            <w:r>
              <w:t>Business key</w:t>
            </w:r>
          </w:p>
        </w:tc>
      </w:tr>
      <w:tr>
        <w:tc>
          <w:tcPr>
            <w:tcW w:type="dxa" w:w="5083"/>
          </w:tcPr>
          <w:p>
            <w:r>
              <w:t>bookIssueId</w:t>
            </w:r>
          </w:p>
        </w:tc>
        <w:tc>
          <w:tcPr>
            <w:tcW w:type="dxa" w:w="5083"/>
          </w:tcPr>
          <w:p>
            <w:r>
              <w:t>Related Book Issue</w:t>
            </w:r>
          </w:p>
        </w:tc>
      </w:tr>
      <w:tr>
        <w:tc>
          <w:tcPr>
            <w:tcW w:type="dxa" w:w="5083"/>
          </w:tcPr>
          <w:p>
            <w:r>
              <w:t>returnDate</w:t>
            </w:r>
          </w:p>
        </w:tc>
        <w:tc>
          <w:tcPr>
            <w:tcW w:type="dxa" w:w="5083"/>
          </w:tcPr>
          <w:p>
            <w:r>
              <w:t>Return date</w:t>
            </w:r>
          </w:p>
        </w:tc>
      </w:tr>
      <w:tr>
        <w:tc>
          <w:tcPr>
            <w:tcW w:type="dxa" w:w="5083"/>
          </w:tcPr>
          <w:p>
            <w:r>
              <w:t>status</w:t>
            </w:r>
          </w:p>
        </w:tc>
        <w:tc>
          <w:tcPr>
            <w:tcW w:type="dxa" w:w="5083"/>
          </w:tcPr>
          <w:p>
            <w:r>
              <w:t>COMPLETED or VOID</w:t>
            </w:r>
          </w:p>
        </w:tc>
      </w:tr>
    </w:tbl>
    <w:p>
      <w:pPr>
        <w:pStyle w:val="Heading1"/>
      </w:pPr>
      <w:r>
        <w:t>4. Training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RET-0001</w:t>
            </w:r>
          </w:p>
        </w:tc>
        <w:tc>
          <w:tcPr>
            <w:tcW w:type="dxa" w:w="5083"/>
          </w:tcPr>
          <w:p>
            <w:r>
              <w:t>COMPLETED; FINE-0001 OUTSTANDING</w:t>
            </w:r>
          </w:p>
        </w:tc>
      </w:tr>
      <w:tr>
        <w:tc>
          <w:tcPr>
            <w:tcW w:type="dxa" w:w="5083"/>
          </w:tcPr>
          <w:p>
            <w:r>
              <w:t>RET-0002</w:t>
            </w:r>
          </w:p>
        </w:tc>
        <w:tc>
          <w:tcPr>
            <w:tcW w:type="dxa" w:w="5083"/>
          </w:tcPr>
          <w:p>
            <w:r>
              <w:t>VOID; related Fine is VOID</w:t>
            </w:r>
          </w:p>
        </w:tc>
      </w:tr>
      <w:tr>
        <w:tc>
          <w:tcPr>
            <w:tcW w:type="dxa" w:w="5083"/>
          </w:tcPr>
          <w:p>
            <w:r>
              <w:t>RET-0003</w:t>
            </w:r>
          </w:p>
        </w:tc>
        <w:tc>
          <w:tcPr>
            <w:tcW w:type="dxa" w:w="5083"/>
          </w:tcPr>
          <w:p>
            <w:r>
              <w:t>COMPLETED; no Fine</w:t>
            </w:r>
          </w:p>
        </w:tc>
      </w:tr>
    </w:tbl>
    <w:p>
      <w:pPr>
        <w:pStyle w:val="Heading1"/>
      </w:pPr>
      <w:r>
        <w:t>5. Ownership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Presenter</w:t>
            </w:r>
          </w:p>
        </w:tc>
        <w:tc>
          <w:tcPr>
            <w:tcW w:type="dxa" w:w="5083"/>
          </w:tcPr>
          <w:p>
            <w:r>
              <w:t>REST Controller, DTO/DO, Mapper, DAO, Flyway, JSON envelope, Thymeleaf</w:t>
            </w:r>
          </w:p>
        </w:tc>
      </w:tr>
      <w:tr>
        <w:tc>
          <w:tcPr>
            <w:tcW w:type="dxa" w:w="5083"/>
          </w:tcPr>
          <w:p>
            <w:r>
              <w:t>Student</w:t>
            </w:r>
          </w:p>
        </w:tc>
        <w:tc>
          <w:tcPr>
            <w:tcW w:type="dxa" w:w="5083"/>
          </w:tcPr>
          <w:p>
            <w:r>
              <w:t>ReadBookReturnServiceImpl, tests and Void Book Return UI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D6"/>
          </w:tcPr>
          <w:p>
            <w:r>
              <w:t>Important: Delete means Void; the row remains with status VOID.</w:t>
            </w:r>
          </w:p>
        </w:tc>
      </w:tr>
    </w:tbl>
    <w:sectPr w:rsidR="00FC693F" w:rsidRPr="0006063C" w:rsidSect="00034616"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