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4.png" ContentType="image/png"/>
  <Override PartName="/word/media/rId22.png" ContentType="image/png"/>
  <Override PartName="/word/media/rId41.png" ContentType="image/png"/>
  <Override PartName="/word/media/rId47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44.png" ContentType="image/png"/>
  <Override PartName="/word/media/rId83.png" ContentType="image/png"/>
  <Override PartName="/word/media/rId70.png" ContentType="image/png"/>
  <Override PartName="/word/media/rId66.png" ContentType="image/png"/>
  <Override PartName="/word/media/rId63.png" ContentType="image/png"/>
  <Override PartName="/word/media/rId80.png" ContentType="image/png"/>
  <Override PartName="/word/media/rId73.png" ContentType="image/png"/>
  <Override PartName="/word/media/rId54.png" ContentType="image/png"/>
  <Override PartName="/word/media/rId51.png" ContentType="image/png"/>
  <Override PartName="/word/media/rId7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</w:t>
      </w:r>
      <w:r>
        <w:t xml:space="preserve"> </w:t>
      </w:r>
      <w:r>
        <w:t xml:space="preserve">Disease</w:t>
      </w:r>
      <w:r>
        <w:t xml:space="preserve"> </w:t>
      </w:r>
      <w:r>
        <w:t xml:space="preserve">Risk</w:t>
      </w:r>
      <w:r>
        <w:t xml:space="preserve"> </w:t>
      </w:r>
      <w:r>
        <w:t xml:space="preserve">Prediction</w:t>
      </w:r>
      <w:r>
        <w:t xml:space="preserve"> </w:t>
      </w:r>
      <w:r>
        <w:t xml:space="preserve">-</w:t>
      </w:r>
      <w:r>
        <w:t xml:space="preserve"> </w:t>
      </w:r>
      <w:r>
        <w:t xml:space="preserve">End-to-End</w:t>
      </w:r>
      <w:r>
        <w:t xml:space="preserve"> </w:t>
      </w:r>
      <w:r>
        <w:t xml:space="preserve">MLOps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MLOps</w:t>
      </w:r>
      <w:r>
        <w:t xml:space="preserve"> </w:t>
      </w:r>
      <w:r>
        <w:t xml:space="preserve">(AIMLCZG523)</w:t>
      </w:r>
      <w:r>
        <w:t xml:space="preserve"> </w:t>
      </w:r>
      <w:r>
        <w:t xml:space="preserve">-</w:t>
      </w:r>
      <w:r>
        <w:t xml:space="preserve"> </w:t>
      </w:r>
      <w:r>
        <w:t xml:space="preserve">Assignment</w:t>
      </w:r>
      <w:r>
        <w:t xml:space="preserve"> </w:t>
      </w:r>
      <w:r>
        <w:t xml:space="preserve">01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rPr>
          <w:rStyle w:val="VerbatimChar"/>
        </w:rPr>
        <w:t xml:space="preserve">&lt;name, BITS ID&gt;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&lt;GitHub URL&gt;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Video: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API / access:</w:t>
      </w:r>
      <w:r>
        <w:t xml:space="preserve"> </w:t>
      </w:r>
      <w:r>
        <w:rPr>
          <w:rStyle w:val="VerbatimChar"/>
        </w:rPr>
        <w:t xml:space="preserve">&lt;URL or "localhost, see section 2"&gt;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rPr>
          <w:bCs/>
          <w:b/>
        </w:rPr>
        <w:t xml:space="preserve">Problem.</w:t>
      </w:r>
      <w:r>
        <w:t xml:space="preserve"> </w:t>
      </w:r>
      <w:r>
        <w:t xml:space="preserve">Predict whether a patient has heart disease from 13 routine clinical attributes and serve the model as a containerised, monitored REST API on Kubernetes.</w:t>
      </w:r>
    </w:p>
    <w:p>
      <w:pPr>
        <w:pStyle w:val="BodyText"/>
      </w:pPr>
      <w:r>
        <w:rPr>
          <w:bCs/>
          <w:b/>
        </w:rPr>
        <w:t xml:space="preserve">Data.</w:t>
      </w:r>
      <w:r>
        <w:t xml:space="preserve"> </w:t>
      </w:r>
      <w:r>
        <w:t xml:space="preserve">UCI Heart Disease, Cleveland subset (303 patients, 13 features, original 0-4 severity label binarised to presence/absence).</w:t>
      </w:r>
    </w:p>
    <w:p>
      <w:pPr>
        <w:pStyle w:val="BodyText"/>
      </w:pPr>
      <w:r>
        <w:rPr>
          <w:bCs/>
          <w:b/>
        </w:rPr>
        <w:t xml:space="preserve">Scope.</w:t>
      </w:r>
      <w:r>
        <w:t xml:space="preserve"> </w:t>
      </w:r>
      <w:r>
        <w:t xml:space="preserve">Acquisition and EDA, feature engineering, two tuned models, MLflow tracking, packaging, unit tests, GitHub Actions CI/CD, Docker, Kubernetes deployment, Prometheus/Grafana monitoring.</w:t>
      </w:r>
    </w:p>
    <w:p>
      <w:pPr>
        <w:pStyle w:val="BodyText"/>
      </w:pPr>
      <w:r>
        <w:rPr>
          <w:bCs/>
          <w:b/>
        </w:rPr>
        <w:t xml:space="preserve">Headline result.</w:t>
      </w:r>
      <w:r>
        <w:t xml:space="preserve"> </w:t>
      </w:r>
      <w:r>
        <w:t xml:space="preserve">Logistic Regression was selected (nested-CV ROC-AUC 0.898; 20% hold-out ROC-AUC 0.965, recall 0.93).</w:t>
      </w:r>
    </w:p>
    <w:bookmarkEnd w:id="20"/>
    <w:bookmarkStart w:id="21" w:name="setup-and-installation"/>
    <w:p>
      <w:pPr>
        <w:pStyle w:val="Heading1"/>
      </w:pPr>
      <w:r>
        <w:t xml:space="preserve">2. Setup and installation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scripts/download_data.py          </w:t>
      </w:r>
      <w:r>
        <w:rPr>
          <w:rStyle w:val="CommentTok"/>
        </w:rPr>
        <w:t xml:space="preserve"># fetch UCI file, write data/processed/heart_clean.csv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src.heart.eda                  </w:t>
      </w:r>
      <w:r>
        <w:rPr>
          <w:rStyle w:val="CommentTok"/>
        </w:rPr>
        <w:t xml:space="preserve"># figures -&gt; reports/figures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src.heart.train                </w:t>
      </w:r>
      <w:r>
        <w:rPr>
          <w:rStyle w:val="CommentTok"/>
        </w:rPr>
        <w:t xml:space="preserve"># MLflow runs -&gt; ./mlruns, model -&gt; models/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                                </w:t>
      </w:r>
      <w:r>
        <w:rPr>
          <w:rStyle w:val="CommentTok"/>
        </w:rPr>
        <w:t xml:space="preserve"># http://127.0.0.1:5000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 api tests scripts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heart-api:latest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localhost:8000/predict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@scripts/sample_request.json</w:t>
      </w:r>
    </w:p>
    <w:p>
      <w:pPr>
        <w:pStyle w:val="FirstParagraph"/>
      </w:pPr>
      <w:r>
        <w:t xml:space="preserve">If UCI is unreachable, the file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can be placed manually in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. Dependencies are split into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(training),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 </w:t>
      </w:r>
      <w:r>
        <w:t xml:space="preserve">(slim serving image) and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 </w:t>
      </w:r>
      <w:r>
        <w:t xml:space="preserve">(adds pytest and flake8).</w:t>
      </w:r>
    </w:p>
    <w:bookmarkEnd w:id="21"/>
    <w:bookmarkStart w:id="37" w:name="data-acquisition-and-eda"/>
    <w:p>
      <w:pPr>
        <w:pStyle w:val="Heading1"/>
      </w:pPr>
      <w:r>
        <w:t xml:space="preserve">3. Data acquisition and EDA</w:t>
      </w:r>
    </w:p>
    <w:p>
      <w:pPr>
        <w:pStyle w:val="FirstParagraph"/>
      </w:pPr>
      <w:r>
        <w:rPr>
          <w:bCs/>
          <w:b/>
        </w:rPr>
        <w:t xml:space="preserve">Acquisition and cleaning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scripts/download_data.py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src/heart/data.py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parsed as missing; duplicates are dropped; the 0-4 label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is binarised (</w:t>
      </w:r>
      <w:r>
        <w:rPr>
          <w:rStyle w:val="VerbatimChar"/>
        </w:rPr>
        <w:t xml:space="preserve">&gt;0</w:t>
      </w:r>
      <w:r>
        <w:t xml:space="preserve"> </w:t>
      </w:r>
      <w:r>
        <w:t xml:space="preserve">means disease). Missing values (</w:t>
      </w:r>
      <w:r>
        <w:rPr>
          <w:rStyle w:val="VerbatimChar"/>
        </w:rPr>
        <w:t xml:space="preserve">ca</w:t>
      </w:r>
      <w:r>
        <w:t xml:space="preserve">: 4,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: 2; six rows in total)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filled during cleaning. They are imputed inside the model pipeline so that statistics come only from training folds (no leakage). A schema check (</w:t>
      </w:r>
      <w:r>
        <w:rPr>
          <w:rStyle w:val="VerbatimChar"/>
        </w:rPr>
        <w:t xml:space="preserve">validate_schema</w:t>
      </w:r>
      <w:r>
        <w:t xml:space="preserve">) guards column presence.</w:t>
      </w:r>
    </w:p>
    <w:p>
      <w:pPr>
        <w:pStyle w:val="BodyText"/>
      </w:pPr>
      <w:r>
        <w:rPr>
          <w:bCs/>
          <w:b/>
        </w:rPr>
        <w:t xml:space="preserve">Class balance.</w:t>
      </w:r>
      <w:r>
        <w:t xml:space="preserve"> </w:t>
      </w:r>
      <w:r>
        <w:t xml:space="preserve">164 healthy (54.1%) vs 139 diseased (45.9%): near-balanced, so accuracy is meaningful. Recall is still tracked because a false negative (missed disease) is the costly error.</w:t>
      </w:r>
    </w:p>
    <w:p>
      <w:pPr>
        <w:pStyle w:val="CaptionedFigure"/>
      </w:pPr>
      <w:r>
        <w:drawing>
          <wp:inline>
            <wp:extent cx="2400300" cy="2133600"/>
            <wp:effectExtent b="0" l="0" r="0" t="0"/>
            <wp:docPr descr="Class balance" title="" id="23" name="Picture"/>
            <a:graphic>
              <a:graphicData uri="http://schemas.openxmlformats.org/drawingml/2006/picture">
                <pic:pic>
                  <pic:nvPicPr>
                    <pic:cNvPr descr="../reports/figures/class_bala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</w:t>
      </w:r>
    </w:p>
    <w:p>
      <w:pPr>
        <w:pStyle w:val="BodyText"/>
      </w:pPr>
      <w:r>
        <w:rPr>
          <w:bCs/>
          <w:b/>
        </w:rPr>
        <w:t xml:space="preserve">Distributions.</w:t>
      </w:r>
      <w:r>
        <w:t xml:space="preserve"> </w:t>
      </w:r>
      <w:r>
        <w:t xml:space="preserve">Diseased patients are older (mean 56.6 vs 52.6), reach a lower maximum heart rate (139 vs 158), and have much higher ST depression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(1.57 vs 0.59). Cholesterol differs little (251 vs 243).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Histograms of numeric features by class" title="" id="26" name="Picture"/>
            <a:graphic>
              <a:graphicData uri="http://schemas.openxmlformats.org/drawingml/2006/picture">
                <pic:pic>
                  <pic:nvPicPr>
                    <pic:cNvPr descr="../reports/figures/histogram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 of numeric features by class</w:t>
      </w:r>
    </w:p>
    <w:p>
      <w:pPr>
        <w:pStyle w:val="BodyText"/>
      </w:pPr>
      <w:r>
        <w:rPr>
          <w:bCs/>
          <w:b/>
        </w:rPr>
        <w:t xml:space="preserve">Outliers.</w:t>
      </w:r>
      <w:r>
        <w:t xml:space="preserve"> </w:t>
      </w:r>
      <w:r>
        <w:t xml:space="preserve">IQR rule flags 5 values in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 5 in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and 9 in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. They are clinically plausible (e.g. cholesterol 564 mg/dl), so they are kept; scaling and a regularised model limit their influence.</w:t>
      </w:r>
    </w:p>
    <w:p>
      <w:pPr>
        <w:pStyle w:val="CaptionedFigure"/>
      </w:pPr>
      <w:r>
        <w:drawing>
          <wp:inline>
            <wp:extent cx="4533900" cy="1133475"/>
            <wp:effectExtent b="0" l="0" r="0" t="0"/>
            <wp:docPr descr="Box plots" title="" id="29" name="Picture"/>
            <a:graphic>
              <a:graphicData uri="http://schemas.openxmlformats.org/drawingml/2006/picture">
                <pic:pic>
                  <pic:nvPicPr>
                    <pic:cNvPr descr="../reports/figures/boxplo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</w:t>
      </w:r>
    </w:p>
    <w:p>
      <w:pPr>
        <w:pStyle w:val="BodyText"/>
      </w:pPr>
      <w:r>
        <w:rPr>
          <w:bCs/>
          <w:b/>
        </w:rPr>
        <w:t xml:space="preserve">Correlation with target.</w:t>
      </w:r>
      <w:r>
        <w:t xml:space="preserve"> </w:t>
      </w:r>
      <w:r>
        <w:t xml:space="preserve">Strongest: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(0.53),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(0.46),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(0.43),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(0.43),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(-0.42),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(0.41),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(0.34). Weak: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(0.09) and</w:t>
      </w:r>
      <w:r>
        <w:t xml:space="preserve"> </w:t>
      </w:r>
      <w:r>
        <w:rPr>
          <w:rStyle w:val="VerbatimChar"/>
        </w:rPr>
        <w:t xml:space="preserve">fbs</w:t>
      </w:r>
      <w:r>
        <w:t xml:space="preserve"> </w:t>
      </w:r>
      <w:r>
        <w:t xml:space="preserve">(0.03). No pair of predictors is so strongly collinear that it needs removal.</w:t>
      </w:r>
    </w:p>
    <w:p>
      <w:pPr>
        <w:pStyle w:val="CaptionedFigure"/>
      </w:pPr>
      <w:r>
        <w:drawing>
          <wp:inline>
            <wp:extent cx="4267200" cy="3318933"/>
            <wp:effectExtent b="0" l="0" r="0" t="0"/>
            <wp:docPr descr="Correlation heatmap" title="" id="32" name="Picture"/>
            <a:graphic>
              <a:graphicData uri="http://schemas.openxmlformats.org/drawingml/2006/picture">
                <pic:pic>
                  <pic:nvPicPr>
                    <pic:cNvPr descr="../reports/figures/correlation_heatma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BodyText"/>
      </w:pPr>
      <w:r>
        <w:rPr>
          <w:bCs/>
          <w:b/>
        </w:rPr>
        <w:t xml:space="preserve">Categorical effects.</w:t>
      </w:r>
      <w:r>
        <w:t xml:space="preserve"> </w:t>
      </w:r>
      <w:r>
        <w:t xml:space="preserve">Disease rate is 77% with exercise-induced angina vs 31% without; 55% in males vs 26% in females; and 73% for asymptomatic chest pain (</w:t>
      </w:r>
      <w:r>
        <w:rPr>
          <w:rStyle w:val="VerbatimChar"/>
        </w:rPr>
        <w:t xml:space="preserve">cp</w:t>
      </w:r>
      <w:r>
        <w:t xml:space="preserve">=4) vs 18-30% for other types.</w:t>
      </w:r>
    </w:p>
    <w:p>
      <w:pPr>
        <w:pStyle w:val="CaptionedFigure"/>
      </w:pPr>
      <w:r>
        <w:drawing>
          <wp:inline>
            <wp:extent cx="5334000" cy="2333625"/>
            <wp:effectExtent b="0" l="0" r="0" t="0"/>
            <wp:docPr descr="Disease rate by categorical feature" title="" id="35" name="Picture"/>
            <a:graphic>
              <a:graphicData uri="http://schemas.openxmlformats.org/drawingml/2006/picture">
                <pic:pic>
                  <pic:nvPicPr>
                    <pic:cNvPr descr="../reports/figures/categorical_vs_targe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 rate by categorical feature</w:t>
      </w:r>
    </w:p>
    <w:bookmarkEnd w:id="37"/>
    <w:bookmarkStart w:id="50" w:name="X537819dce07de7eb16457b51ece0ca6800c2d3b"/>
    <w:p>
      <w:pPr>
        <w:pStyle w:val="Heading1"/>
      </w:pPr>
      <w:r>
        <w:t xml:space="preserve">4. Feature engineering and modelling choices</w:t>
      </w:r>
    </w:p>
    <w:p>
      <w:pPr>
        <w:pStyle w:val="FirstParagraph"/>
      </w:pPr>
      <w:r>
        <w:rPr>
          <w:bCs/>
          <w:b/>
        </w:rPr>
        <w:t xml:space="preserve">Preprocessing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src/heart/features.py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imputation, standard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sex, cp, fbs, restecg, exang, slope, ca, 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most-frequent imputation, one-hot (</w:t>
            </w:r>
            <w:r>
              <w:rPr>
                <w:rStyle w:val="VerbatimChar"/>
              </w:rPr>
              <w:t xml:space="preserve">handle_unknown="ignore"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means an unseen code at serving time cannot crash the API. Treating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as categorical avoids imposing a false ordering on codes.</w:t>
      </w:r>
    </w:p>
    <w:p>
      <w:pPr>
        <w:pStyle w:val="BodyText"/>
      </w:pPr>
      <w:r>
        <w:rPr>
          <w:bCs/>
          <w:b/>
        </w:rPr>
        <w:t xml:space="preserve">Models.</w:t>
      </w:r>
      <w:r>
        <w:t xml:space="preserve"> </w:t>
      </w:r>
      <w:r>
        <w:t xml:space="preserve">Logistic Regression (interpretable, strong baseline for small tabular data) and Random Forest (captures non-linearity and interactions).</w:t>
      </w:r>
    </w:p>
    <w:p>
      <w:pPr>
        <w:pStyle w:val="BodyText"/>
      </w:pPr>
      <w:r>
        <w:rPr>
          <w:bCs/>
          <w:b/>
        </w:rPr>
        <w:t xml:space="preserve">Tuning and evaluation.</w:t>
      </w:r>
      <w:r>
        <w:t xml:space="preserve"> </w:t>
      </w:r>
      <w:r>
        <w:t xml:space="preserve">An 80/20 stratified split (seed 42) holds out 61 patients for the final test. On the 80% training portion,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(3-fold, ROC-AUC) is nested inside 5-fold stratified cross-validation, so reported CV metrics are not inflated by tuning. Grids: LR</w:t>
      </w:r>
      <w:r>
        <w:t xml:space="preserve"> </w:t>
      </w:r>
      <w:r>
        <w:rPr>
          <w:rStyle w:val="VerbatimChar"/>
        </w:rPr>
        <w:t xml:space="preserve">C</w:t>
      </w:r>
      <w:r>
        <w:t xml:space="preserve">; RF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. Metrics: accuracy, precision, recall, F1, ROC-AUC.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(best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prec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 (C=0.1)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(depth 3, leaf 3, 100 trees)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Selection.</w:t>
      </w:r>
      <w:r>
        <w:t xml:space="preserve"> </w:t>
      </w:r>
      <w:r>
        <w:t xml:space="preserve">Rule: highest mean nested-CV ROC-AUC. Logistic Regression wins, only marginally on CV (0.898 vs 0.897) but with lower fold variance (ROC-AUC std 0.012 vs 0.028) and better hold-out results. Tuning chose strong regularisation (C=0.1) for LR and shallow trees for RF, both signs that with 303 rows the data supports only simple models. A simple linear model is also easier to explain clinically.</w:t>
      </w:r>
    </w:p>
    <w:p>
      <w:pPr>
        <w:pStyle w:val="BodyText"/>
      </w:pPr>
      <w:r>
        <w:drawing>
          <wp:inline>
            <wp:extent cx="2400300" cy="1920240"/>
            <wp:effectExtent b="0" l="0" r="0" t="0"/>
            <wp:docPr descr="ROC curve - Logistic Regression" title="" id="39" name="Picture"/>
            <a:graphic>
              <a:graphicData uri="http://schemas.openxmlformats.org/drawingml/2006/picture">
                <pic:pic>
                  <pic:nvPicPr>
                    <pic:cNvPr descr="../reports/figures/roc_logistic_regres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2133600"/>
            <wp:effectExtent b="0" l="0" r="0" t="0"/>
            <wp:docPr descr="Confusion matrix - Logistic Regression" title="" id="42" name="Picture"/>
            <a:graphic>
              <a:graphicData uri="http://schemas.openxmlformats.org/drawingml/2006/picture">
                <pic:pic>
                  <pic:nvPicPr>
                    <pic:cNvPr descr="../reports/figures/cm_logistic_regress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00300" cy="1920240"/>
            <wp:effectExtent b="0" l="0" r="0" t="0"/>
            <wp:docPr descr="ROC curve - Random Forest" title="" id="45" name="Picture"/>
            <a:graphic>
              <a:graphicData uri="http://schemas.openxmlformats.org/drawingml/2006/picture">
                <pic:pic>
                  <pic:nvPicPr>
                    <pic:cNvPr descr="../reports/figures/roc_random_fores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00300" cy="2133600"/>
            <wp:effectExtent b="0" l="0" r="0" t="0"/>
            <wp:docPr descr="Confusion matrix - Random Forest" title="" id="48" name="Picture"/>
            <a:graphic>
              <a:graphicData uri="http://schemas.openxmlformats.org/drawingml/2006/picture">
                <pic:pic>
                  <pic:nvPicPr>
                    <pic:cNvPr descr="../reports/figures/cm_random_fore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Caveat.</w:t>
      </w:r>
      <w:r>
        <w:t xml:space="preserve"> </w:t>
      </w:r>
      <w:r>
        <w:t xml:space="preserve">With 61 test rows, one patient changes accuracy by 1.6 points; the test figures carry wide uncertainty, so the CV numbers are the more reliable comparison.</w:t>
      </w:r>
    </w:p>
    <w:bookmarkEnd w:id="50"/>
    <w:bookmarkStart w:id="57" w:name="experiment-tracking-summary"/>
    <w:p>
      <w:pPr>
        <w:pStyle w:val="Heading1"/>
      </w:pPr>
      <w:r>
        <w:t xml:space="preserve">5. Experiment tracking summary</w:t>
      </w:r>
    </w:p>
    <w:p>
      <w:pPr>
        <w:pStyle w:val="FirstParagraph"/>
      </w:pPr>
      <w:r>
        <w:t xml:space="preserve">MLflow (local file store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, experiment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) records one parent run per training session and one nested run per model. Logged per run: hyper-parameters, seed, library versions, nested-CV metrics (mean and std), hold-out metrics, ROC and confusion-matrix plots, and the fitted pipeline with its input signature.</w:t>
      </w:r>
      <w:r>
        <w:t xml:space="preserve"> </w:t>
      </w:r>
      <w:r>
        <w:rPr>
          <w:rStyle w:val="VerbatimChar"/>
        </w:rPr>
        <w:t xml:space="preserve">Tracker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src/heart/tracking.py</w:t>
      </w:r>
      <w:r>
        <w:t xml:space="preserve">) wraps MLflow so training also works with</w:t>
      </w:r>
      <w:r>
        <w:t xml:space="preserve"> </w:t>
      </w:r>
      <w:r>
        <w:rPr>
          <w:rStyle w:val="VerbatimChar"/>
        </w:rPr>
        <w:t xml:space="preserve">--no-mlflow</w:t>
      </w:r>
      <w:r>
        <w:t xml:space="preserve"> </w:t>
      </w:r>
      <w:r>
        <w:t xml:space="preserve">(used in unit tests).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MLflow runs table" title="" id="52" name="Picture"/>
            <a:graphic>
              <a:graphicData uri="http://schemas.openxmlformats.org/drawingml/2006/picture">
                <pic:pic>
                  <pic:nvPicPr>
                    <pic:cNvPr descr="../screenshots/mlflow_run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runs table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MLflow run detail" title="" id="55" name="Picture"/>
            <a:graphic>
              <a:graphicData uri="http://schemas.openxmlformats.org/drawingml/2006/picture">
                <pic:pic>
                  <pic:nvPicPr>
                    <pic:cNvPr descr="../screenshots/mlflow_run_detai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detail</w:t>
      </w:r>
    </w:p>
    <w:p>
      <w:pPr>
        <w:pStyle w:val="BodyText"/>
      </w:pPr>
      <w:r>
        <w:rPr>
          <w:bCs/>
          <w:b/>
        </w:rPr>
        <w:t xml:space="preserve">Observations.</w:t>
      </w:r>
      <w:r>
        <w:t xml:space="preserve"> </w:t>
      </w:r>
      <w:r>
        <w:t xml:space="preserve">Both models reach almost identical CV ROC-AUC, but RF shows roughly twice the fold-to-fold variance. Larger RF depth was not selected by the grid, consistent with overfitting on 242 training rows. Tracking made this comparison reproducible: every number above can be traced to a run, parameters and seed.</w:t>
      </w:r>
    </w:p>
    <w:bookmarkEnd w:id="57"/>
    <w:bookmarkStart w:id="58" w:name="model-packaging-and-reproducibility"/>
    <w:p>
      <w:pPr>
        <w:pStyle w:val="Heading1"/>
      </w:pPr>
      <w:r>
        <w:t xml:space="preserve">6. Model packaging and reproducibility</w:t>
      </w:r>
    </w:p>
    <w:p>
      <w:pPr>
        <w:pStyle w:val="FirstParagraph"/>
      </w:pPr>
      <w:r>
        <w:t xml:space="preserve">The complete preprocessing and estimator is one</w:t>
      </w:r>
      <w:r>
        <w:t xml:space="preserve"> </w:t>
      </w:r>
      <w:r>
        <w:rPr>
          <w:rStyle w:val="VerbatimChar"/>
        </w:rPr>
        <w:t xml:space="preserve">sklearn.Pipeline</w:t>
      </w:r>
      <w:r>
        <w:t xml:space="preserve"> </w:t>
      </w:r>
      <w:r>
        <w:t xml:space="preserve">saved with joblib (</w:t>
      </w:r>
      <w:r>
        <w:rPr>
          <w:rStyle w:val="VerbatimChar"/>
        </w:rPr>
        <w:t xml:space="preserve">models/model.joblib</w:t>
      </w:r>
      <w:r>
        <w:t xml:space="preserve">) next to</w:t>
      </w:r>
      <w:r>
        <w:t xml:space="preserve"> </w:t>
      </w:r>
      <w:r>
        <w:rPr>
          <w:rStyle w:val="VerbatimChar"/>
        </w:rPr>
        <w:t xml:space="preserve">models/metadata.json</w:t>
      </w:r>
      <w:r>
        <w:t xml:space="preserve"> </w:t>
      </w:r>
      <w:r>
        <w:t xml:space="preserve">(feature list, metrics, library versions, seed). The API loads the identical object, so training and serving transforms cannot diverge. A fixed seed (42) and version-pinned dependency files make runs repeatable from a clean environment; CI proves this on every push by installing from the requirements file on a fresh runner.</w:t>
      </w:r>
    </w:p>
    <w:bookmarkEnd w:id="58"/>
    <w:bookmarkStart w:id="62" w:name="architecture"/>
    <w:p>
      <w:pPr>
        <w:pStyle w:val="Heading1"/>
      </w:pPr>
      <w:r>
        <w:t xml:space="preserve">7. Architecture</w:t>
      </w:r>
    </w:p>
    <w:p>
      <w:pPr>
        <w:pStyle w:val="CaptionedFigure"/>
      </w:pPr>
      <w:r>
        <w:drawing>
          <wp:inline>
            <wp:extent cx="5334000" cy="2699445"/>
            <wp:effectExtent b="0" l="0" r="0" t="0"/>
            <wp:docPr descr="Architecture diagram" title="" id="60" name="Picture"/>
            <a:graphic>
              <a:graphicData uri="http://schemas.openxmlformats.org/drawingml/2006/picture">
                <pic:pic>
                  <pic:nvPicPr>
                    <pic:cNvPr descr="architectur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Flow: UCI data -&gt; download/clean -&gt; EDA and training (MLflow) -&gt; versioned model artifact -&gt; Docker image -&gt; Kubernetes Deployment behind a LoadBalancer Service -&gt; clients call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; Prometheus scrapes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 Grafana visualises; GitHub Actions automates lint, test, train and image smoke test.</w:t>
      </w:r>
    </w:p>
    <w:bookmarkEnd w:id="62"/>
    <w:bookmarkStart w:id="69" w:name="cicd-pipeline"/>
    <w:p>
      <w:pPr>
        <w:pStyle w:val="Heading1"/>
      </w:pPr>
      <w:r>
        <w:t xml:space="preserve">8. CI/CD pipeline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every pull request: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lint-test: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coverage and JUnit XML (uploaded as artifacts, even on failure).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</w:t>
      </w:r>
      <w:r>
        <w:t xml:space="preserve"> </w:t>
      </w:r>
      <w:r>
        <w:t xml:space="preserve">(needs lint-test): download data, generate EDA figures, train with MLflow, upload model, reports,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and the cleaned dataset.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(needs train): build the image, run it, poll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 upload</w:t>
      </w:r>
      <w:r>
        <w:t xml:space="preserve"> </w:t>
      </w:r>
      <w:r>
        <w:rPr>
          <w:rStyle w:val="VerbatimChar"/>
        </w:rPr>
        <w:t xml:space="preserve">smoke.json</w:t>
      </w:r>
      <w:r>
        <w:t xml:space="preserve"> </w:t>
      </w:r>
      <w:r>
        <w:t xml:space="preserve">and container logs.</w:t>
      </w:r>
    </w:p>
    <w:p>
      <w:pPr>
        <w:pStyle w:val="FirstParagraph"/>
      </w:pPr>
      <w:r>
        <w:t xml:space="preserve">Jobs are chained with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, so any lint, test, or training error stops the pipeline with the failing command in the log (production-readiness requirement).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18 tests): data cleaning (binarisation, duplicates, missing values kept, schema), preprocessing (no NaNs, scaling, unseen category, missing at inference), metrics, end-to-end training that writes artifacts, and API contract (valid prediction, missing field, out-of-range value, non-JSON body gives HTTP 400). Coverage is produced as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 </w:t>
      </w:r>
      <w:r>
        <w:t xml:space="preserve">in each run.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Successful workflow run" title="" id="64" name="Picture"/>
            <a:graphic>
              <a:graphicData uri="http://schemas.openxmlformats.org/drawingml/2006/picture">
                <pic:pic>
                  <pic:nvPicPr>
                    <pic:cNvPr descr="../screenshots/github_actions_succes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Successful workflow run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Failing run demonstrating fail-fast" title="" id="67" name="Picture"/>
            <a:graphic>
              <a:graphicData uri="http://schemas.openxmlformats.org/drawingml/2006/picture">
                <pic:pic>
                  <pic:nvPicPr>
                    <pic:cNvPr descr="../screenshots/github_actions_failur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Failing run demonstrating fail-fast</w:t>
      </w:r>
    </w:p>
    <w:bookmarkEnd w:id="69"/>
    <w:bookmarkStart w:id="79" w:name="containerisation-and-deployment"/>
    <w:p>
      <w:pPr>
        <w:pStyle w:val="Heading1"/>
      </w:pPr>
      <w:r>
        <w:t xml:space="preserve">9. Containerisation and deployment</w:t>
      </w:r>
    </w:p>
    <w:p>
      <w:pPr>
        <w:pStyle w:val="FirstParagraph"/>
      </w:pPr>
      <w:r>
        <w:rPr>
          <w:bCs/>
          <w:b/>
        </w:rPr>
        <w:t xml:space="preserve">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api/app.py</w:t>
      </w:r>
      <w:r>
        <w:t xml:space="preserve">, Flask + gunicorn):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accepts the 13 features as JSON, validates presence and ranges, and returns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probability_disease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serves probes;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serves Prometheus.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heart disease likely"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"probability_disease"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0.4238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Docker.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, slim serving requirements only, non-root user,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gunicorn with 2 workers and access log to stdout.</w:t>
      </w:r>
    </w:p>
    <w:p>
      <w:pPr>
        <w:pStyle w:val="BodyText"/>
      </w:pPr>
      <w:r>
        <w:rPr>
          <w:bCs/>
          <w:b/>
        </w:rPr>
        <w:t xml:space="preserve">Kubernetes</w:t>
      </w:r>
      <w:r>
        <w:t xml:space="preserve"> </w:t>
      </w:r>
      <w:r>
        <w:t xml:space="preserve">(</w:t>
      </w:r>
      <w:r>
        <w:rPr>
          <w:rStyle w:val="VerbatimChar"/>
        </w:rPr>
        <w:t xml:space="preserve">k8s/</w:t>
      </w:r>
      <w:r>
        <w:t xml:space="preserve">): Deployment (2 replicas, readiness and 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CPU/memory requests and limits), Service of type LoadBalancer, optional Ingress and HorizontalPodAutoscaler. Cluster used:</w:t>
      </w:r>
      <w:r>
        <w:t xml:space="preserve"> </w:t>
      </w:r>
      <w:r>
        <w:rPr>
          <w:rStyle w:val="VerbatimChar"/>
        </w:rPr>
        <w:t xml:space="preserve">&lt;Minikube / Docker Desktop / GKE&gt;</w:t>
      </w:r>
      <w:r>
        <w:t xml:space="preserve">. For a public cloud, push the image to a registry and change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deployment.yaml</w:t>
      </w:r>
      <w:r>
        <w:t xml:space="preserve">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docker build and run" title="" id="71" name="Picture"/>
            <a:graphic>
              <a:graphicData uri="http://schemas.openxmlformats.org/drawingml/2006/picture">
                <pic:pic>
                  <pic:nvPicPr>
                    <pic:cNvPr descr="../screenshots/docker_ru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build and run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kubectl get pods,svc" title="" id="74" name="Picture"/>
            <a:graphic>
              <a:graphicData uri="http://schemas.openxmlformats.org/drawingml/2006/picture">
                <pic:pic>
                  <pic:nvPicPr>
                    <pic:cNvPr descr="../screenshots/kubectl_get_al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pods,svc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curl /predict against the service" title="" id="77" name="Picture"/>
            <a:graphic>
              <a:graphicData uri="http://schemas.openxmlformats.org/drawingml/2006/picture">
                <pic:pic>
                  <pic:nvPicPr>
                    <pic:cNvPr descr="../screenshots/predict_curl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curl /predict against the service</w:t>
      </w:r>
    </w:p>
    <w:bookmarkEnd w:id="79"/>
    <w:bookmarkStart w:id="86" w:name="monitoring-and-logging"/>
    <w:p>
      <w:pPr>
        <w:pStyle w:val="Heading1"/>
      </w:pPr>
      <w:r>
        <w:t xml:space="preserve">10. Monitoring and logging</w:t>
      </w:r>
    </w:p>
    <w:p>
      <w:pPr>
        <w:pStyle w:val="FirstParagraph"/>
      </w:pPr>
      <w:r>
        <w:rPr>
          <w:bCs/>
          <w:b/>
        </w:rPr>
        <w:t xml:space="preserve">Logging.</w:t>
      </w:r>
      <w:r>
        <w:t xml:space="preserve"> </w:t>
      </w:r>
      <w:r>
        <w:t xml:space="preserve">Every request emits one JSON line (request id, method, path, status, latency ms); every prediction logs class and confidence; validation errors are logged with the reason. Logs are collected with</w:t>
      </w:r>
      <w:r>
        <w:t xml:space="preserve"> </w:t>
      </w:r>
      <w:r>
        <w:rPr>
          <w:rStyle w:val="VerbatimChar"/>
        </w:rPr>
        <w:t xml:space="preserve">kubectl logs -l app=heart-api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api/metrics.py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): request count by path and status, latency histogram, predictions by class, and 5xx count. Prometheus scrapes the pods (annotations in the Deployment; manifests in</w:t>
      </w:r>
      <w:r>
        <w:t xml:space="preserve"> </w:t>
      </w:r>
      <w:r>
        <w:rPr>
          <w:rStyle w:val="VerbatimChar"/>
        </w:rPr>
        <w:t xml:space="preserve">k8s/monitoring.yaml</w:t>
      </w:r>
      <w:r>
        <w:t xml:space="preserve">). The Grafana dashboard (</w:t>
      </w:r>
      <w:r>
        <w:rPr>
          <w:rStyle w:val="VerbatimChar"/>
        </w:rPr>
        <w:t xml:space="preserve">monitoring/grafana-dashboard.json</w:t>
      </w:r>
      <w:r>
        <w:t xml:space="preserve">) shows request rate, p95 latency, predictions by class and error count.</w:t>
      </w:r>
      <w:r>
        <w:t xml:space="preserve"> </w:t>
      </w:r>
      <w:r>
        <w:rPr>
          <w:rStyle w:val="VerbatimChar"/>
        </w:rPr>
        <w:t xml:space="preserve">scripts/load_test.py</w:t>
      </w:r>
      <w:r>
        <w:t xml:space="preserve"> </w:t>
      </w:r>
      <w:r>
        <w:t xml:space="preserve">generates traffic to populate it.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Grafana dashboard" title="" id="81" name="Picture"/>
            <a:graphic>
              <a:graphicData uri="http://schemas.openxmlformats.org/drawingml/2006/picture">
                <pic:pic>
                  <pic:nvPicPr>
                    <pic:cNvPr descr="../screenshots/grafana_dashboard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API logs" title="" id="84" name="Picture"/>
            <a:graphic>
              <a:graphicData uri="http://schemas.openxmlformats.org/drawingml/2006/picture">
                <pic:pic>
                  <pic:nvPicPr>
                    <pic:cNvPr descr="../screenshots/api_log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logs</w:t>
      </w:r>
    </w:p>
    <w:bookmarkEnd w:id="86"/>
    <w:bookmarkStart w:id="87" w:name="limitations-and-future-work"/>
    <w:p>
      <w:pPr>
        <w:pStyle w:val="Heading1"/>
      </w:pPr>
      <w:r>
        <w:t xml:space="preserve">11. Limitations and future work</w:t>
      </w:r>
    </w:p>
    <w:p>
      <w:pPr>
        <w:pStyle w:val="FirstParagraph"/>
      </w:pPr>
      <w:r>
        <w:t xml:space="preserve">Only 303 patients from one hospital, so confidence intervals are wide and generalisation is unproven; the model is a teaching artifact, not a medical device. Future work: data and prediction drift monitoring, MLflow model registry with staged promotion, GitOps deployment (Argo CD), probability calibration, and threshold tuning to favour recall.</w:t>
      </w:r>
    </w:p>
    <w:bookmarkEnd w:id="87"/>
    <w:bookmarkStart w:id="88" w:name="links"/>
    <w:p>
      <w:pPr>
        <w:pStyle w:val="Heading1"/>
      </w:pPr>
      <w:r>
        <w:t xml:space="preserve">12. Links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&lt;GitHub URL&gt;</w:t>
      </w:r>
      <w:r>
        <w:t xml:space="preserve"> </w:t>
      </w:r>
      <w:r>
        <w:t xml:space="preserve">| Video: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| API:</w:t>
      </w:r>
      <w:r>
        <w:t xml:space="preserve"> </w:t>
      </w:r>
      <w:r>
        <w:rPr>
          <w:rStyle w:val="VerbatimChar"/>
        </w:rPr>
        <w:t xml:space="preserve">&lt;URL / access instructions&gt;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83" Target="media/rId83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80" Target="media/rId80.png" /><Relationship Type="http://schemas.openxmlformats.org/officeDocument/2006/relationships/image" Id="rId73" Target="media/rId73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76" Target="media/rId7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- End-to-End MLOps Report</dc:title>
  <dc:creator/>
  <cp:keywords/>
  <dcterms:created xsi:type="dcterms:W3CDTF">2026-10-17T07:03:58Z</dcterms:created>
  <dcterms:modified xsi:type="dcterms:W3CDTF">2026-10-17T07:03:58Z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MLOps (AIMLCZG523) - Assignment 01</vt:lpwstr>
  </property>
</Properties>
</file>