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ults-and-insights"/>
    <w:p>
      <w:pPr>
        <w:pStyle w:val="Heading1"/>
      </w:pPr>
      <w:r>
        <w:t xml:space="preserve">Results and Insights</w:t>
      </w:r>
    </w:p>
    <w:bookmarkStart w:id="9" w:name="analytical-approach"/>
    <w:p>
      <w:pPr>
        <w:pStyle w:val="Heading2"/>
      </w:pPr>
      <w:r>
        <w:t xml:space="preserve">1. Analytical Approach</w:t>
      </w:r>
    </w:p>
    <w:p>
      <w:pPr>
        <w:pStyle w:val="FirstParagraph"/>
      </w:pPr>
      <w:r>
        <w:t xml:space="preserve">The objective of the analysis was not prediction but discovery. Rather than estimating a target variable, the project aimed to identify naturally occurring student groups based on behavioral, academic, career, and psychological characteristics.</w:t>
      </w:r>
    </w:p>
    <w:p>
      <w:pPr>
        <w:pStyle w:val="BodyText"/>
      </w:pPr>
      <w:r>
        <w:t xml:space="preserve">The workflow consisted of:</w:t>
      </w:r>
    </w:p>
    <w:p>
      <w:pPr>
        <w:pStyle w:val="Compact"/>
        <w:numPr>
          <w:ilvl w:val="0"/>
          <w:numId w:val="1001"/>
        </w:numPr>
      </w:pPr>
      <w:r>
        <w:t xml:space="preserve">Data preprocessing</w:t>
      </w:r>
    </w:p>
    <w:p>
      <w:pPr>
        <w:pStyle w:val="Compact"/>
        <w:numPr>
          <w:ilvl w:val="0"/>
          <w:numId w:val="1001"/>
        </w:numPr>
      </w:pPr>
      <w:r>
        <w:t xml:space="preserve">Feature transformation</w:t>
      </w:r>
    </w:p>
    <w:p>
      <w:pPr>
        <w:pStyle w:val="Compact"/>
        <w:numPr>
          <w:ilvl w:val="0"/>
          <w:numId w:val="1001"/>
        </w:numPr>
      </w:pPr>
      <w:r>
        <w:t xml:space="preserve">Dimensionality reduction</w:t>
      </w:r>
    </w:p>
    <w:p>
      <w:pPr>
        <w:pStyle w:val="Compact"/>
        <w:numPr>
          <w:ilvl w:val="0"/>
          <w:numId w:val="1001"/>
        </w:numPr>
      </w:pPr>
      <w:r>
        <w:t xml:space="preserve">Cluster validation</w:t>
      </w:r>
    </w:p>
    <w:p>
      <w:pPr>
        <w:pStyle w:val="Compact"/>
        <w:numPr>
          <w:ilvl w:val="0"/>
          <w:numId w:val="1001"/>
        </w:numPr>
      </w:pPr>
      <w:r>
        <w:t xml:space="preserve">K-Means clustering</w:t>
      </w:r>
    </w:p>
    <w:p>
      <w:pPr>
        <w:pStyle w:val="Compact"/>
        <w:numPr>
          <w:ilvl w:val="0"/>
          <w:numId w:val="1001"/>
        </w:numPr>
      </w:pPr>
      <w:r>
        <w:t xml:space="preserve">Cluster visualization</w:t>
      </w:r>
    </w:p>
    <w:p>
      <w:pPr>
        <w:pStyle w:val="Compact"/>
        <w:numPr>
          <w:ilvl w:val="0"/>
          <w:numId w:val="1001"/>
        </w:numPr>
      </w:pPr>
      <w:r>
        <w:t xml:space="preserve">Persona interpretation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feature-space"/>
    <w:p>
      <w:pPr>
        <w:pStyle w:val="Heading1"/>
      </w:pPr>
      <w:r>
        <w:t xml:space="preserve">2. Feature Space</w:t>
      </w:r>
    </w:p>
    <w:p>
      <w:pPr>
        <w:pStyle w:val="FirstParagraph"/>
      </w:pPr>
      <w:r>
        <w:t xml:space="preserve">The clustering model was built using variables describing:</w:t>
      </w:r>
    </w:p>
    <w:bookmarkStart w:id="11" w:name="academic-characteristics"/>
    <w:p>
      <w:pPr>
        <w:pStyle w:val="Heading3"/>
      </w:pPr>
      <w:r>
        <w:t xml:space="preserve">Academic Characteristics</w:t>
      </w:r>
    </w:p>
    <w:p>
      <w:pPr>
        <w:pStyle w:val="Compact"/>
        <w:numPr>
          <w:ilvl w:val="0"/>
          <w:numId w:val="1002"/>
        </w:numPr>
      </w:pPr>
      <w:r>
        <w:t xml:space="preserve">Degree type</w:t>
      </w:r>
    </w:p>
    <w:p>
      <w:pPr>
        <w:pStyle w:val="Compact"/>
        <w:numPr>
          <w:ilvl w:val="0"/>
          <w:numId w:val="1002"/>
        </w:numPr>
      </w:pPr>
      <w:r>
        <w:t xml:space="preserve">Stream</w:t>
      </w:r>
    </w:p>
    <w:p>
      <w:pPr>
        <w:pStyle w:val="Compact"/>
        <w:numPr>
          <w:ilvl w:val="0"/>
          <w:numId w:val="1002"/>
        </w:numPr>
      </w:pPr>
      <w:r>
        <w:t xml:space="preserve">Year of study</w:t>
      </w:r>
    </w:p>
    <w:p>
      <w:pPr>
        <w:pStyle w:val="Compact"/>
        <w:numPr>
          <w:ilvl w:val="0"/>
          <w:numId w:val="1002"/>
        </w:numPr>
      </w:pPr>
      <w:r>
        <w:t xml:space="preserve">College tier</w:t>
      </w:r>
    </w:p>
    <w:p>
      <w:pPr>
        <w:pStyle w:val="Compact"/>
        <w:numPr>
          <w:ilvl w:val="0"/>
          <w:numId w:val="1002"/>
        </w:numPr>
      </w:pPr>
      <w:r>
        <w:t xml:space="preserve">Geographic background</w:t>
      </w:r>
    </w:p>
    <w:bookmarkEnd w:id="11"/>
    <w:bookmarkStart w:id="12" w:name="ai-adoption"/>
    <w:p>
      <w:pPr>
        <w:pStyle w:val="Heading3"/>
      </w:pPr>
      <w:r>
        <w:t xml:space="preserve">AI Adoption</w:t>
      </w:r>
    </w:p>
    <w:p>
      <w:pPr>
        <w:pStyle w:val="Compact"/>
        <w:numPr>
          <w:ilvl w:val="0"/>
          <w:numId w:val="1003"/>
        </w:numPr>
      </w:pPr>
      <w:r>
        <w:t xml:space="preserve">Daily AI usage</w:t>
      </w:r>
    </w:p>
    <w:p>
      <w:pPr>
        <w:pStyle w:val="Compact"/>
        <w:numPr>
          <w:ilvl w:val="0"/>
          <w:numId w:val="1003"/>
        </w:numPr>
      </w:pPr>
      <w:r>
        <w:t xml:space="preserve">AI-assisted assignments</w:t>
      </w:r>
    </w:p>
    <w:p>
      <w:pPr>
        <w:pStyle w:val="Compact"/>
        <w:numPr>
          <w:ilvl w:val="0"/>
          <w:numId w:val="1003"/>
        </w:numPr>
      </w:pPr>
      <w:r>
        <w:t xml:space="preserve">AI dependency</w:t>
      </w:r>
    </w:p>
    <w:p>
      <w:pPr>
        <w:pStyle w:val="Compact"/>
        <w:numPr>
          <w:ilvl w:val="0"/>
          <w:numId w:val="1003"/>
        </w:numPr>
      </w:pPr>
      <w:r>
        <w:t xml:space="preserve">Preferred AI tools</w:t>
      </w:r>
    </w:p>
    <w:p>
      <w:pPr>
        <w:pStyle w:val="Compact"/>
        <w:numPr>
          <w:ilvl w:val="0"/>
          <w:numId w:val="1003"/>
        </w:numPr>
      </w:pPr>
      <w:r>
        <w:t xml:space="preserve">AI thinking replacement score</w:t>
      </w:r>
    </w:p>
    <w:bookmarkEnd w:id="12"/>
    <w:bookmarkStart w:id="13" w:name="career-development"/>
    <w:p>
      <w:pPr>
        <w:pStyle w:val="Heading3"/>
      </w:pPr>
      <w:r>
        <w:t xml:space="preserve">Career Development</w:t>
      </w:r>
    </w:p>
    <w:p>
      <w:pPr>
        <w:pStyle w:val="Compact"/>
        <w:numPr>
          <w:ilvl w:val="0"/>
          <w:numId w:val="1004"/>
        </w:numPr>
      </w:pPr>
      <w:r>
        <w:t xml:space="preserve">Career clarity</w:t>
      </w:r>
    </w:p>
    <w:p>
      <w:pPr>
        <w:pStyle w:val="Compact"/>
        <w:numPr>
          <w:ilvl w:val="0"/>
          <w:numId w:val="1004"/>
        </w:numPr>
      </w:pPr>
      <w:r>
        <w:t xml:space="preserve">Internship experience</w:t>
      </w:r>
    </w:p>
    <w:p>
      <w:pPr>
        <w:pStyle w:val="Compact"/>
        <w:numPr>
          <w:ilvl w:val="0"/>
          <w:numId w:val="1004"/>
        </w:numPr>
      </w:pPr>
      <w:r>
        <w:t xml:space="preserve">Placement anxiety</w:t>
      </w:r>
    </w:p>
    <w:p>
      <w:pPr>
        <w:pStyle w:val="Compact"/>
        <w:numPr>
          <w:ilvl w:val="0"/>
          <w:numId w:val="1004"/>
        </w:numPr>
      </w:pPr>
      <w:r>
        <w:t xml:space="preserve">Resume confidence</w:t>
      </w:r>
    </w:p>
    <w:p>
      <w:pPr>
        <w:pStyle w:val="Compact"/>
        <w:numPr>
          <w:ilvl w:val="0"/>
          <w:numId w:val="1004"/>
        </w:numPr>
      </w:pPr>
      <w:r>
        <w:t xml:space="preserve">Job application activity</w:t>
      </w:r>
    </w:p>
    <w:bookmarkEnd w:id="13"/>
    <w:bookmarkStart w:id="14" w:name="learning-behavior"/>
    <w:p>
      <w:pPr>
        <w:pStyle w:val="Heading3"/>
      </w:pPr>
      <w:r>
        <w:t xml:space="preserve">Learning Behavior</w:t>
      </w:r>
    </w:p>
    <w:p>
      <w:pPr>
        <w:pStyle w:val="Compact"/>
        <w:numPr>
          <w:ilvl w:val="0"/>
          <w:numId w:val="1005"/>
        </w:numPr>
      </w:pPr>
      <w:r>
        <w:t xml:space="preserve">Daily study hours</w:t>
      </w:r>
    </w:p>
    <w:p>
      <w:pPr>
        <w:pStyle w:val="Compact"/>
        <w:numPr>
          <w:ilvl w:val="0"/>
          <w:numId w:val="1005"/>
        </w:numPr>
      </w:pPr>
      <w:r>
        <w:t xml:space="preserve">Self-learning hours</w:t>
      </w:r>
    </w:p>
    <w:p>
      <w:pPr>
        <w:pStyle w:val="Compact"/>
        <w:numPr>
          <w:ilvl w:val="0"/>
          <w:numId w:val="1005"/>
        </w:numPr>
      </w:pPr>
      <w:r>
        <w:t xml:space="preserve">Skill development activities</w:t>
      </w:r>
    </w:p>
    <w:bookmarkEnd w:id="14"/>
    <w:bookmarkStart w:id="15" w:name="well-being-indicators"/>
    <w:p>
      <w:pPr>
        <w:pStyle w:val="Heading3"/>
      </w:pPr>
      <w:r>
        <w:t xml:space="preserve">Well-Being Indicators</w:t>
      </w:r>
    </w:p>
    <w:p>
      <w:pPr>
        <w:pStyle w:val="Compact"/>
        <w:numPr>
          <w:ilvl w:val="0"/>
          <w:numId w:val="1006"/>
        </w:numPr>
      </w:pPr>
      <w:r>
        <w:t xml:space="preserve">Stress level</w:t>
      </w:r>
    </w:p>
    <w:p>
      <w:pPr>
        <w:pStyle w:val="Compact"/>
        <w:numPr>
          <w:ilvl w:val="0"/>
          <w:numId w:val="1006"/>
        </w:numPr>
      </w:pPr>
      <w:r>
        <w:t xml:space="preserve">Burnout score</w:t>
      </w:r>
    </w:p>
    <w:p>
      <w:pPr>
        <w:pStyle w:val="Compact"/>
        <w:numPr>
          <w:ilvl w:val="0"/>
          <w:numId w:val="1006"/>
        </w:numPr>
      </w:pPr>
      <w:r>
        <w:t xml:space="preserve">Sleep patterns</w:t>
      </w:r>
    </w:p>
    <w:p>
      <w:pPr>
        <w:pStyle w:val="Compact"/>
        <w:numPr>
          <w:ilvl w:val="0"/>
          <w:numId w:val="1006"/>
        </w:numPr>
      </w:pPr>
      <w:r>
        <w:t xml:space="preserve">Motivation score</w:t>
      </w:r>
    </w:p>
    <w:p>
      <w:pPr>
        <w:pStyle w:val="FirstParagraph"/>
      </w:pPr>
      <w:r>
        <w:t xml:space="preserve">This combination allows the clustering model to capture a broad view of student behavior rather than relying on a single dimension.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dimensionality-reduction"/>
    <w:p>
      <w:pPr>
        <w:pStyle w:val="Heading1"/>
      </w:pPr>
      <w:r>
        <w:t xml:space="preserve">3. Dimensionality Reduction</w:t>
      </w:r>
    </w:p>
    <w:bookmarkStart w:id="17" w:name="principal-component-analysis-pca"/>
    <w:p>
      <w:pPr>
        <w:pStyle w:val="Heading2"/>
      </w:pPr>
      <w:r>
        <w:t xml:space="preserve">Principal Component Analysis (PCA)</w:t>
      </w:r>
    </w:p>
    <w:p>
      <w:pPr>
        <w:pStyle w:val="FirstParagraph"/>
      </w:pPr>
      <w:r>
        <w:t xml:space="preserve">The original feature space contained multiple correlated variables.</w:t>
      </w:r>
    </w:p>
    <w:p>
      <w:pPr>
        <w:pStyle w:val="BodyText"/>
      </w:pPr>
      <w:r>
        <w:t xml:space="preserve">PCA was applied to:</w:t>
      </w:r>
    </w:p>
    <w:p>
      <w:pPr>
        <w:pStyle w:val="Compact"/>
        <w:numPr>
          <w:ilvl w:val="0"/>
          <w:numId w:val="1007"/>
        </w:numPr>
      </w:pPr>
      <w:r>
        <w:t xml:space="preserve">Reduce dimensionality</w:t>
      </w:r>
    </w:p>
    <w:p>
      <w:pPr>
        <w:pStyle w:val="Compact"/>
        <w:numPr>
          <w:ilvl w:val="0"/>
          <w:numId w:val="1007"/>
        </w:numPr>
      </w:pPr>
      <w:r>
        <w:t xml:space="preserve">Remove redundancy</w:t>
      </w:r>
    </w:p>
    <w:p>
      <w:pPr>
        <w:pStyle w:val="Compact"/>
        <w:numPr>
          <w:ilvl w:val="0"/>
          <w:numId w:val="1007"/>
        </w:numPr>
      </w:pPr>
      <w:r>
        <w:t xml:space="preserve">Improve computational efficiency</w:t>
      </w:r>
    </w:p>
    <w:p>
      <w:pPr>
        <w:pStyle w:val="Compact"/>
        <w:numPr>
          <w:ilvl w:val="0"/>
          <w:numId w:val="1007"/>
        </w:numPr>
      </w:pPr>
      <w:r>
        <w:t xml:space="preserve">Create a compact representation for clustering</w:t>
      </w:r>
    </w:p>
    <w:p>
      <w:pPr>
        <w:pStyle w:val="FirstParagraph"/>
      </w:pPr>
      <w:r>
        <w:t xml:space="preserve">The transformed feature space served as the input for K-Means clustering.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7604d634d31ce4eb7e76eb65bc7559f4f4e1c8d"/>
    <w:p>
      <w:pPr>
        <w:pStyle w:val="Heading1"/>
      </w:pPr>
      <w:r>
        <w:t xml:space="preserve">4. Determining the Optimal Number of Clusters</w:t>
      </w:r>
    </w:p>
    <w:p>
      <w:pPr>
        <w:pStyle w:val="FirstParagraph"/>
      </w:pPr>
      <w:r>
        <w:t xml:space="preserve">Several values of K were evaluated using multiple internal validation metrics.</w:t>
      </w:r>
    </w:p>
    <w:bookmarkStart w:id="19" w:name="elbow-method"/>
    <w:p>
      <w:pPr>
        <w:pStyle w:val="Heading2"/>
      </w:pPr>
      <w:r>
        <w:t xml:space="preserve">Elbow Method</w:t>
      </w:r>
    </w:p>
    <w:p>
      <w:pPr>
        <w:pStyle w:val="FirstParagraph"/>
      </w:pPr>
      <w:r>
        <w:t xml:space="preserve">The Elbow Method was used to evaluate within-cluster variation and identify a suitable cluster count.</w:t>
      </w:r>
    </w:p>
    <w:bookmarkEnd w:id="19"/>
    <w:bookmarkStart w:id="20" w:name="silhouette-score"/>
    <w:p>
      <w:pPr>
        <w:pStyle w:val="Heading2"/>
      </w:pPr>
      <w:r>
        <w:t xml:space="preserve">Silhouette Score</w:t>
      </w:r>
    </w:p>
    <w:p>
      <w:pPr>
        <w:pStyle w:val="FirstParagraph"/>
      </w:pPr>
      <w:r>
        <w:t xml:space="preserve">Measures:</w:t>
      </w:r>
    </w:p>
    <w:p>
      <w:pPr>
        <w:pStyle w:val="Compact"/>
        <w:numPr>
          <w:ilvl w:val="0"/>
          <w:numId w:val="1008"/>
        </w:numPr>
      </w:pPr>
      <w:r>
        <w:t xml:space="preserve">Intra-cluster cohesion</w:t>
      </w:r>
    </w:p>
    <w:p>
      <w:pPr>
        <w:pStyle w:val="Compact"/>
        <w:numPr>
          <w:ilvl w:val="0"/>
          <w:numId w:val="1008"/>
        </w:numPr>
      </w:pPr>
      <w:r>
        <w:t xml:space="preserve">Inter-cluster separation</w:t>
      </w:r>
    </w:p>
    <w:p>
      <w:pPr>
        <w:pStyle w:val="FirstParagraph"/>
      </w:pPr>
      <w:r>
        <w:t xml:space="preserve">Higher values indicate better-defined clusters.</w:t>
      </w:r>
    </w:p>
    <w:bookmarkEnd w:id="20"/>
    <w:bookmarkStart w:id="21" w:name="davies-bouldin-index"/>
    <w:p>
      <w:pPr>
        <w:pStyle w:val="Heading2"/>
      </w:pPr>
      <w:r>
        <w:t xml:space="preserve">Davies-Bouldin Index</w:t>
      </w:r>
    </w:p>
    <w:p>
      <w:pPr>
        <w:pStyle w:val="FirstParagraph"/>
      </w:pPr>
      <w:r>
        <w:t xml:space="preserve">Measures cluster similarity.</w:t>
      </w:r>
    </w:p>
    <w:p>
      <w:pPr>
        <w:pStyle w:val="BodyText"/>
      </w:pPr>
      <w:r>
        <w:t xml:space="preserve">Lower values indicate better cluster separation.</w:t>
      </w:r>
    </w:p>
    <w:bookmarkEnd w:id="21"/>
    <w:bookmarkStart w:id="22" w:name="calinski-harabasz-index"/>
    <w:p>
      <w:pPr>
        <w:pStyle w:val="Heading2"/>
      </w:pPr>
      <w:r>
        <w:t xml:space="preserve">Calinski-Harabasz Index</w:t>
      </w:r>
    </w:p>
    <w:p>
      <w:pPr>
        <w:pStyle w:val="FirstParagraph"/>
      </w:pPr>
      <w:r>
        <w:t xml:space="preserve">Measures the ratio of between-cluster dispersion to within-cluster dispersion.</w:t>
      </w:r>
    </w:p>
    <w:p>
      <w:pPr>
        <w:pStyle w:val="BodyText"/>
      </w:pPr>
      <w:r>
        <w:t xml:space="preserve">Higher values indicate stronger clustering structure.</w:t>
      </w:r>
    </w:p>
    <w:p>
      <w:pPr>
        <w:pStyle w:val="BodyText"/>
      </w:pPr>
      <w:r>
        <w:t xml:space="preserve">The combined evidence from these metrics supported the selection of four clusters.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inal-clustering-results"/>
    <w:p>
      <w:pPr>
        <w:pStyle w:val="Heading1"/>
      </w:pPr>
      <w:r>
        <w:t xml:space="preserve">5. Final Clustering Results</w:t>
      </w:r>
    </w:p>
    <w:bookmarkStart w:id="25" w:name="selected-model"/>
    <w:p>
      <w:pPr>
        <w:pStyle w:val="Heading2"/>
      </w:pPr>
      <w:r>
        <w:t xml:space="preserve">Selected Model</w:t>
      </w:r>
    </w:p>
    <w:p>
      <w:pPr>
        <w:pStyle w:val="Compact"/>
        <w:numPr>
          <w:ilvl w:val="0"/>
          <w:numId w:val="1009"/>
        </w:numPr>
      </w:pPr>
      <w:r>
        <w:t xml:space="preserve">Algorithm: K-Means</w:t>
      </w:r>
    </w:p>
    <w:p>
      <w:pPr>
        <w:pStyle w:val="Compact"/>
        <w:numPr>
          <w:ilvl w:val="0"/>
          <w:numId w:val="1009"/>
        </w:numPr>
      </w:pPr>
      <w:r>
        <w:t xml:space="preserve">Clusters: 4</w:t>
      </w:r>
    </w:p>
    <w:p>
      <w:pPr>
        <w:pStyle w:val="Compact"/>
        <w:numPr>
          <w:ilvl w:val="0"/>
          <w:numId w:val="1009"/>
        </w:numPr>
      </w:pPr>
      <w:r>
        <w:t xml:space="preserve">Input Space: PCA-transformed features</w:t>
      </w:r>
    </w:p>
    <w:bookmarkStart w:id="24" w:name="validation-metrics"/>
    <w:p>
      <w:pPr>
        <w:pStyle w:val="Heading3"/>
      </w:pPr>
      <w:r>
        <w:t xml:space="preserve">Validation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Silhouette Score</w:t>
            </w:r>
          </w:p>
        </w:tc>
        <w:tc>
          <w:tcPr/>
          <w:p>
            <w:pPr>
              <w:pStyle w:val="Compac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Davies-Bouldin Index</w:t>
            </w:r>
          </w:p>
        </w:tc>
        <w:tc>
          <w:tcPr/>
          <w:p>
            <w:pPr>
              <w:pStyle w:val="Compact"/>
            </w:pPr>
            <w:r>
              <w:t xml:space="preserve">1.8560</w:t>
            </w:r>
          </w:p>
        </w:tc>
      </w:tr>
    </w:tbl>
    <w:p>
      <w:pPr>
        <w:pStyle w:val="BodyText"/>
      </w:pPr>
      <w:r>
        <w:t xml:space="preserve">The clustering structure is meaningful but not perfectly separated, which is expected in behavioral and psychological datasets where student characteristics often overlap.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cluster-visualization"/>
    <w:p>
      <w:pPr>
        <w:pStyle w:val="Heading1"/>
      </w:pPr>
      <w:r>
        <w:t xml:space="preserve">6. Cluster Visualization</w:t>
      </w:r>
    </w:p>
    <w:p>
      <w:pPr>
        <w:pStyle w:val="FirstParagraph"/>
      </w:pPr>
      <w:r>
        <w:t xml:space="preserve">Numerical validation metrics provide only part of the story. To better understand cluster structure, multiple visualization techniques were used.</w:t>
      </w:r>
    </w:p>
    <w:p>
      <w:r>
        <w:pict>
          <v:rect style="width:0;height:1.5pt" o:hralign="center" o:hrstd="t" o:hr="t"/>
        </w:pict>
      </w:r>
    </w:p>
    <w:bookmarkStart w:id="27" w:name="pca-projection"/>
    <w:p>
      <w:pPr>
        <w:pStyle w:val="Heading2"/>
      </w:pPr>
      <w:r>
        <w:t xml:space="preserve">PCA Projection</w:t>
      </w:r>
    </w:p>
    <w:p>
      <w:pPr>
        <w:pStyle w:val="FirstParagraph"/>
      </w:pPr>
      <w:r>
        <w:t xml:space="preserve">PCA projections provided a linear representation of the clustering structure.</w:t>
      </w:r>
    </w:p>
    <w:p>
      <w:pPr>
        <w:pStyle w:val="BodyText"/>
      </w:pPr>
      <w:r>
        <w:t xml:space="preserve">Observations:</w:t>
      </w:r>
    </w:p>
    <w:p>
      <w:pPr>
        <w:pStyle w:val="Compact"/>
        <w:numPr>
          <w:ilvl w:val="0"/>
          <w:numId w:val="1010"/>
        </w:numPr>
      </w:pPr>
      <w:r>
        <w:t xml:space="preserve">Visible cluster formation</w:t>
      </w:r>
    </w:p>
    <w:p>
      <w:pPr>
        <w:pStyle w:val="Compact"/>
        <w:numPr>
          <w:ilvl w:val="0"/>
          <w:numId w:val="1010"/>
        </w:numPr>
      </w:pPr>
      <w:r>
        <w:t xml:space="preserve">Moderate overlap between groups</w:t>
      </w:r>
    </w:p>
    <w:p>
      <w:pPr>
        <w:pStyle w:val="Compact"/>
        <w:numPr>
          <w:ilvl w:val="0"/>
          <w:numId w:val="1010"/>
        </w:numPr>
      </w:pPr>
      <w:r>
        <w:t xml:space="preserve">Broad separation along major behavioral dimensions</w:t>
      </w:r>
    </w:p>
    <w:p>
      <w:pPr>
        <w:pStyle w:val="FirstParagraph"/>
      </w:pPr>
      <w:r>
        <w:t xml:space="preserve">PCA also served as the feature space used for clustering.</w:t>
      </w:r>
    </w:p>
    <w:p>
      <w:r>
        <w:pict>
          <v:rect style="width:0;height:1.5pt" o:hralign="center" o:hrstd="t" o:hr="t"/>
        </w:pict>
      </w:r>
    </w:p>
    <w:bookmarkEnd w:id="27"/>
    <w:bookmarkStart w:id="28" w:name="t-sne-projection"/>
    <w:p>
      <w:pPr>
        <w:pStyle w:val="Heading2"/>
      </w:pPr>
      <w:r>
        <w:t xml:space="preserve">t-SNE Projection</w:t>
      </w:r>
    </w:p>
    <w:p>
      <w:pPr>
        <w:pStyle w:val="FirstParagraph"/>
      </w:pPr>
      <w:r>
        <w:t xml:space="preserve">t-SNE was used to examine local neighborhood relationships among observations.</w:t>
      </w:r>
    </w:p>
    <w:p>
      <w:pPr>
        <w:pStyle w:val="BodyText"/>
      </w:pPr>
      <w:r>
        <w:t xml:space="preserve">Benefits observed:</w:t>
      </w:r>
    </w:p>
    <w:p>
      <w:pPr>
        <w:pStyle w:val="Compact"/>
        <w:numPr>
          <w:ilvl w:val="0"/>
          <w:numId w:val="1011"/>
        </w:numPr>
      </w:pPr>
      <w:r>
        <w:t xml:space="preserve">Better visualization of local cluster density</w:t>
      </w:r>
    </w:p>
    <w:p>
      <w:pPr>
        <w:pStyle w:val="Compact"/>
        <w:numPr>
          <w:ilvl w:val="0"/>
          <w:numId w:val="1011"/>
        </w:numPr>
      </w:pPr>
      <w:r>
        <w:t xml:space="preserve">Improved visibility of subgroup patterns</w:t>
      </w:r>
    </w:p>
    <w:p>
      <w:pPr>
        <w:pStyle w:val="Compact"/>
        <w:numPr>
          <w:ilvl w:val="0"/>
          <w:numId w:val="1011"/>
        </w:numPr>
      </w:pPr>
      <w:r>
        <w:t xml:space="preserve">Easier identification of overlapping regions</w:t>
      </w:r>
    </w:p>
    <w:p>
      <w:pPr>
        <w:pStyle w:val="FirstParagraph"/>
      </w:pPr>
      <w:r>
        <w:t xml:space="preserve">The t-SNE projection suggested that student behavior exists on a continuum rather than in completely isolated groups.</w:t>
      </w:r>
    </w:p>
    <w:p>
      <w:r>
        <w:pict>
          <v:rect style="width:0;height:1.5pt" o:hralign="center" o:hrstd="t" o:hr="t"/>
        </w:pict>
      </w:r>
    </w:p>
    <w:bookmarkEnd w:id="28"/>
    <w:bookmarkStart w:id="29" w:name="umap-projection"/>
    <w:p>
      <w:pPr>
        <w:pStyle w:val="Heading2"/>
      </w:pPr>
      <w:r>
        <w:t xml:space="preserve">UMAP Projection</w:t>
      </w:r>
    </w:p>
    <w:p>
      <w:pPr>
        <w:pStyle w:val="FirstParagraph"/>
      </w:pPr>
      <w:r>
        <w:t xml:space="preserve">UMAP was applied as a nonlinear dimensionality reduction technique for visual exploration.</w:t>
      </w:r>
    </w:p>
    <w:p>
      <w:pPr>
        <w:pStyle w:val="BodyText"/>
      </w:pPr>
      <w:r>
        <w:t xml:space="preserve">Compared with PCA and t-SNE:</w:t>
      </w:r>
    </w:p>
    <w:p>
      <w:pPr>
        <w:pStyle w:val="Compact"/>
        <w:numPr>
          <w:ilvl w:val="0"/>
          <w:numId w:val="1012"/>
        </w:numPr>
      </w:pPr>
      <w:r>
        <w:t xml:space="preserve">Preserved local relationships effectively</w:t>
      </w:r>
    </w:p>
    <w:p>
      <w:pPr>
        <w:pStyle w:val="Compact"/>
        <w:numPr>
          <w:ilvl w:val="0"/>
          <w:numId w:val="1012"/>
        </w:numPr>
      </w:pPr>
      <w:r>
        <w:t xml:space="preserve">Maintained broader global structure</w:t>
      </w:r>
    </w:p>
    <w:p>
      <w:pPr>
        <w:pStyle w:val="Compact"/>
        <w:numPr>
          <w:ilvl w:val="0"/>
          <w:numId w:val="1012"/>
        </w:numPr>
      </w:pPr>
      <w:r>
        <w:t xml:space="preserve">Produced clearer visual separation between several student groups</w:t>
      </w:r>
    </w:p>
    <w:p>
      <w:pPr>
        <w:pStyle w:val="FirstParagraph"/>
      </w:pPr>
      <w:r>
        <w:t xml:space="preserve">The UMAP representation provided additional confidence that meaningful segmentation existed within the data.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lat-vs-nested-clustering"/>
    <w:p>
      <w:pPr>
        <w:pStyle w:val="Heading1"/>
      </w:pPr>
      <w:r>
        <w:t xml:space="preserve">7. Flat vs Nested Clustering</w:t>
      </w:r>
    </w:p>
    <w:p>
      <w:pPr>
        <w:pStyle w:val="FirstParagraph"/>
      </w:pPr>
      <w:r>
        <w:t xml:space="preserve">The project explored both approaches.</w:t>
      </w:r>
    </w:p>
    <w:bookmarkStart w:id="31" w:name="flat-k-means"/>
    <w:p>
      <w:pPr>
        <w:pStyle w:val="Heading2"/>
      </w:pPr>
      <w:r>
        <w:t xml:space="preserve">Flat K-Means</w:t>
      </w:r>
    </w:p>
    <w:p>
      <w:pPr>
        <w:pStyle w:val="FirstParagraph"/>
      </w:pPr>
      <w:r>
        <w:t xml:space="preserve">Validation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Silhouette Score</w:t>
            </w:r>
          </w:p>
        </w:tc>
        <w:tc>
          <w:tcPr/>
          <w:p>
            <w:pPr>
              <w:pStyle w:val="Compac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Davies-Bouldin Index</w:t>
            </w:r>
          </w:p>
        </w:tc>
        <w:tc>
          <w:tcPr/>
          <w:p>
            <w:pPr>
              <w:pStyle w:val="Compact"/>
            </w:pPr>
            <w:r>
              <w:t xml:space="preserve">1.8560</w:t>
            </w:r>
          </w:p>
        </w:tc>
      </w:tr>
    </w:tbl>
    <w:bookmarkEnd w:id="31"/>
    <w:bookmarkStart w:id="32" w:name="nested-clustering"/>
    <w:p>
      <w:pPr>
        <w:pStyle w:val="Heading2"/>
      </w:pPr>
      <w:r>
        <w:t xml:space="preserve">Nested Clustering</w:t>
      </w:r>
    </w:p>
    <w:p>
      <w:pPr>
        <w:pStyle w:val="FirstParagraph"/>
      </w:pPr>
      <w:r>
        <w:t xml:space="preserve">Validation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Silhouette Score</w:t>
            </w:r>
          </w:p>
        </w:tc>
        <w:tc>
          <w:tcPr/>
          <w:p>
            <w:pPr>
              <w:pStyle w:val="Compact"/>
            </w:pPr>
            <w:r>
              <w:t xml:space="preserve">0.1146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Davies-Bouldin Index</w:t>
            </w:r>
          </w:p>
        </w:tc>
        <w:tc>
          <w:tcPr/>
          <w:p>
            <w:pPr>
              <w:pStyle w:val="Compact"/>
            </w:pPr>
            <w:r>
              <w:t xml:space="preserve">2.2392</w:t>
            </w:r>
          </w:p>
        </w:tc>
      </w:tr>
    </w:tbl>
    <w:bookmarkEnd w:id="32"/>
    <w:bookmarkStart w:id="33" w:name="model-selection-decision"/>
    <w:p>
      <w:pPr>
        <w:pStyle w:val="Heading2"/>
      </w:pPr>
      <w:r>
        <w:t xml:space="preserve">Model Selection Decision</w:t>
      </w:r>
    </w:p>
    <w:p>
      <w:pPr>
        <w:pStyle w:val="FirstParagraph"/>
      </w:pPr>
      <w:r>
        <w:t xml:space="preserve">The flat K-Means approach was selected because it:</w:t>
      </w:r>
    </w:p>
    <w:p>
      <w:pPr>
        <w:pStyle w:val="Compact"/>
        <w:numPr>
          <w:ilvl w:val="0"/>
          <w:numId w:val="1013"/>
        </w:numPr>
      </w:pPr>
      <w:r>
        <w:t xml:space="preserve">Produced better validation metrics</w:t>
      </w:r>
    </w:p>
    <w:p>
      <w:pPr>
        <w:pStyle w:val="Compact"/>
        <w:numPr>
          <w:ilvl w:val="0"/>
          <w:numId w:val="1013"/>
        </w:numPr>
      </w:pPr>
      <w:r>
        <w:t xml:space="preserve">Reduced cluster overlap</w:t>
      </w:r>
    </w:p>
    <w:p>
      <w:pPr>
        <w:pStyle w:val="Compact"/>
        <w:numPr>
          <w:ilvl w:val="0"/>
          <w:numId w:val="1013"/>
        </w:numPr>
      </w:pPr>
      <w:r>
        <w:t xml:space="preserve">Improved interpretability</w:t>
      </w:r>
    </w:p>
    <w:p>
      <w:pPr>
        <w:pStyle w:val="Compact"/>
        <w:numPr>
          <w:ilvl w:val="0"/>
          <w:numId w:val="1013"/>
        </w:numPr>
      </w:pPr>
      <w:r>
        <w:t xml:space="preserve">Simplified persona communication</w:t>
      </w:r>
    </w:p>
    <w:p>
      <w:pPr>
        <w:pStyle w:val="FirstParagraph"/>
      </w:pPr>
      <w:r>
        <w:t xml:space="preserve">Although nested clustering generated additional subgroups, the performance gain did not justify the increased complexity.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tudent-personas"/>
    <w:p>
      <w:pPr>
        <w:pStyle w:val="Heading1"/>
      </w:pPr>
      <w:r>
        <w:t xml:space="preserve">8. Student Personas</w:t>
      </w:r>
    </w:p>
    <w:p>
      <w:pPr>
        <w:pStyle w:val="FirstParagraph"/>
      </w:pPr>
      <w:r>
        <w:t xml:space="preserve">The following persona names were assigned after examining cluster-level behavioral patterns.</w:t>
      </w:r>
    </w:p>
    <w:p>
      <w:r>
        <w:pict>
          <v:rect style="width:0;height:1.5pt" o:hralign="center" o:hrstd="t" o:hr="t"/>
        </w:pict>
      </w:r>
    </w:p>
    <w:bookmarkStart w:id="35" w:name="persona-1-career-focused-achievers"/>
    <w:p>
      <w:pPr>
        <w:pStyle w:val="Heading2"/>
      </w:pPr>
      <w:r>
        <w:t xml:space="preserve">Persona 1: Career-Focused Achievers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4"/>
        </w:numPr>
      </w:pPr>
      <w:r>
        <w:t xml:space="preserve">Strong career readiness</w:t>
      </w:r>
    </w:p>
    <w:p>
      <w:pPr>
        <w:pStyle w:val="Compact"/>
        <w:numPr>
          <w:ilvl w:val="0"/>
          <w:numId w:val="1014"/>
        </w:numPr>
      </w:pPr>
      <w:r>
        <w:t xml:space="preserve">High professional clarity</w:t>
      </w:r>
    </w:p>
    <w:p>
      <w:pPr>
        <w:pStyle w:val="Compact"/>
        <w:numPr>
          <w:ilvl w:val="0"/>
          <w:numId w:val="1014"/>
        </w:numPr>
      </w:pPr>
      <w:r>
        <w:t xml:space="preserve">Active skill development</w:t>
      </w:r>
    </w:p>
    <w:p>
      <w:pPr>
        <w:pStyle w:val="Compact"/>
        <w:numPr>
          <w:ilvl w:val="0"/>
          <w:numId w:val="1014"/>
        </w:numPr>
      </w:pPr>
      <w:r>
        <w:t xml:space="preserve">Lower anxiety levels</w:t>
      </w:r>
    </w:p>
    <w:p>
      <w:pPr>
        <w:pStyle w:val="Compact"/>
        <w:numPr>
          <w:ilvl w:val="0"/>
          <w:numId w:val="1014"/>
        </w:numPr>
      </w:pPr>
      <w:r>
        <w:t xml:space="preserve">Consistent learning habits</w:t>
      </w:r>
    </w:p>
    <w:p>
      <w:pPr>
        <w:pStyle w:val="FirstParagraph"/>
      </w:pPr>
      <w:r>
        <w:t xml:space="preserve">Potential interventions:</w:t>
      </w:r>
    </w:p>
    <w:p>
      <w:pPr>
        <w:pStyle w:val="Compact"/>
        <w:numPr>
          <w:ilvl w:val="0"/>
          <w:numId w:val="1015"/>
        </w:numPr>
      </w:pPr>
      <w:r>
        <w:t xml:space="preserve">Leadership development</w:t>
      </w:r>
    </w:p>
    <w:p>
      <w:pPr>
        <w:pStyle w:val="Compact"/>
        <w:numPr>
          <w:ilvl w:val="0"/>
          <w:numId w:val="1015"/>
        </w:numPr>
      </w:pPr>
      <w:r>
        <w:t xml:space="preserve">Advanced career programs</w:t>
      </w:r>
    </w:p>
    <w:p>
      <w:pPr>
        <w:pStyle w:val="Compact"/>
        <w:numPr>
          <w:ilvl w:val="0"/>
          <w:numId w:val="1015"/>
        </w:numPr>
      </w:pPr>
      <w:r>
        <w:t xml:space="preserve">Competitive internship opportunities</w:t>
      </w:r>
    </w:p>
    <w:p>
      <w:r>
        <w:pict>
          <v:rect style="width:0;height:1.5pt" o:hralign="center" o:hrstd="t" o:hr="t"/>
        </w:pict>
      </w:r>
    </w:p>
    <w:bookmarkEnd w:id="35"/>
    <w:bookmarkStart w:id="36" w:name="persona-2-ai-driven-explorers"/>
    <w:p>
      <w:pPr>
        <w:pStyle w:val="Heading2"/>
      </w:pPr>
      <w:r>
        <w:t xml:space="preserve">Persona 2: AI-Driven Explorers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6"/>
        </w:numPr>
      </w:pPr>
      <w:r>
        <w:t xml:space="preserve">Heavy AI usage</w:t>
      </w:r>
    </w:p>
    <w:p>
      <w:pPr>
        <w:pStyle w:val="Compact"/>
        <w:numPr>
          <w:ilvl w:val="0"/>
          <w:numId w:val="1016"/>
        </w:numPr>
      </w:pPr>
      <w:r>
        <w:t xml:space="preserve">Strong technology adoption</w:t>
      </w:r>
    </w:p>
    <w:p>
      <w:pPr>
        <w:pStyle w:val="Compact"/>
        <w:numPr>
          <w:ilvl w:val="0"/>
          <w:numId w:val="1016"/>
        </w:numPr>
      </w:pPr>
      <w:r>
        <w:t xml:space="preserve">Frequent use of AI learning tools</w:t>
      </w:r>
    </w:p>
    <w:p>
      <w:pPr>
        <w:pStyle w:val="Compact"/>
        <w:numPr>
          <w:ilvl w:val="0"/>
          <w:numId w:val="1016"/>
        </w:numPr>
      </w:pPr>
      <w:r>
        <w:t xml:space="preserve">High experimentation behavior</w:t>
      </w:r>
    </w:p>
    <w:p>
      <w:pPr>
        <w:pStyle w:val="FirstParagraph"/>
      </w:pPr>
      <w:r>
        <w:t xml:space="preserve">Potential interventions:</w:t>
      </w:r>
    </w:p>
    <w:p>
      <w:pPr>
        <w:pStyle w:val="Compact"/>
        <w:numPr>
          <w:ilvl w:val="0"/>
          <w:numId w:val="1017"/>
        </w:numPr>
      </w:pPr>
      <w:r>
        <w:t xml:space="preserve">Responsible AI education</w:t>
      </w:r>
    </w:p>
    <w:p>
      <w:pPr>
        <w:pStyle w:val="Compact"/>
        <w:numPr>
          <w:ilvl w:val="0"/>
          <w:numId w:val="1017"/>
        </w:numPr>
      </w:pPr>
      <w:r>
        <w:t xml:space="preserve">Technical specialization pathways</w:t>
      </w:r>
    </w:p>
    <w:p>
      <w:pPr>
        <w:pStyle w:val="Compact"/>
        <w:numPr>
          <w:ilvl w:val="0"/>
          <w:numId w:val="1017"/>
        </w:numPr>
      </w:pPr>
      <w:r>
        <w:t xml:space="preserve">Advanced AI skill development</w:t>
      </w:r>
    </w:p>
    <w:p>
      <w:r>
        <w:pict>
          <v:rect style="width:0;height:1.5pt" o:hralign="center" o:hrstd="t" o:hr="t"/>
        </w:pict>
      </w:r>
    </w:p>
    <w:bookmarkEnd w:id="36"/>
    <w:bookmarkStart w:id="37" w:name="persona-3-uncertain-strivers"/>
    <w:p>
      <w:pPr>
        <w:pStyle w:val="Heading2"/>
      </w:pPr>
      <w:r>
        <w:t xml:space="preserve">Persona 3: Uncertain Strivers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8"/>
        </w:numPr>
      </w:pPr>
      <w:r>
        <w:t xml:space="preserve">High placement anxiety</w:t>
      </w:r>
    </w:p>
    <w:p>
      <w:pPr>
        <w:pStyle w:val="Compact"/>
        <w:numPr>
          <w:ilvl w:val="0"/>
          <w:numId w:val="1018"/>
        </w:numPr>
      </w:pPr>
      <w:r>
        <w:t xml:space="preserve">Lower career clarity</w:t>
      </w:r>
    </w:p>
    <w:p>
      <w:pPr>
        <w:pStyle w:val="Compact"/>
        <w:numPr>
          <w:ilvl w:val="0"/>
          <w:numId w:val="1018"/>
        </w:numPr>
      </w:pPr>
      <w:r>
        <w:t xml:space="preserve">Active preparation efforts</w:t>
      </w:r>
    </w:p>
    <w:p>
      <w:pPr>
        <w:pStyle w:val="Compact"/>
        <w:numPr>
          <w:ilvl w:val="0"/>
          <w:numId w:val="1018"/>
        </w:numPr>
      </w:pPr>
      <w:r>
        <w:t xml:space="preserve">Greater uncertainty regarding future outcomes</w:t>
      </w:r>
    </w:p>
    <w:p>
      <w:pPr>
        <w:pStyle w:val="FirstParagraph"/>
      </w:pPr>
      <w:r>
        <w:t xml:space="preserve">Potential interventions:</w:t>
      </w:r>
    </w:p>
    <w:p>
      <w:pPr>
        <w:pStyle w:val="Compact"/>
        <w:numPr>
          <w:ilvl w:val="0"/>
          <w:numId w:val="1019"/>
        </w:numPr>
      </w:pPr>
      <w:r>
        <w:t xml:space="preserve">Career counseling</w:t>
      </w:r>
    </w:p>
    <w:p>
      <w:pPr>
        <w:pStyle w:val="Compact"/>
        <w:numPr>
          <w:ilvl w:val="0"/>
          <w:numId w:val="1019"/>
        </w:numPr>
      </w:pPr>
      <w:r>
        <w:t xml:space="preserve">Mentorship support</w:t>
      </w:r>
    </w:p>
    <w:p>
      <w:pPr>
        <w:pStyle w:val="Compact"/>
        <w:numPr>
          <w:ilvl w:val="0"/>
          <w:numId w:val="1019"/>
        </w:numPr>
      </w:pPr>
      <w:r>
        <w:t xml:space="preserve">Structured placement preparation</w:t>
      </w:r>
    </w:p>
    <w:p>
      <w:r>
        <w:pict>
          <v:rect style="width:0;height:1.5pt" o:hralign="center" o:hrstd="t" o:hr="t"/>
        </w:pict>
      </w:r>
    </w:p>
    <w:bookmarkEnd w:id="37"/>
    <w:bookmarkStart w:id="38" w:name="persona-4-balanced-learners"/>
    <w:p>
      <w:pPr>
        <w:pStyle w:val="Heading2"/>
      </w:pPr>
      <w:r>
        <w:t xml:space="preserve">Persona 4: Balanced Learners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20"/>
        </w:numPr>
      </w:pPr>
      <w:r>
        <w:t xml:space="preserve">Moderate AI adoption</w:t>
      </w:r>
    </w:p>
    <w:p>
      <w:pPr>
        <w:pStyle w:val="Compact"/>
        <w:numPr>
          <w:ilvl w:val="0"/>
          <w:numId w:val="1020"/>
        </w:numPr>
      </w:pPr>
      <w:r>
        <w:t xml:space="preserve">Balanced study behavior</w:t>
      </w:r>
    </w:p>
    <w:p>
      <w:pPr>
        <w:pStyle w:val="Compact"/>
        <w:numPr>
          <w:ilvl w:val="0"/>
          <w:numId w:val="1020"/>
        </w:numPr>
      </w:pPr>
      <w:r>
        <w:t xml:space="preserve">Stable academic engagement</w:t>
      </w:r>
    </w:p>
    <w:p>
      <w:pPr>
        <w:pStyle w:val="Compact"/>
        <w:numPr>
          <w:ilvl w:val="0"/>
          <w:numId w:val="1020"/>
        </w:numPr>
      </w:pPr>
      <w:r>
        <w:t xml:space="preserve">Average stress and motivation levels</w:t>
      </w:r>
    </w:p>
    <w:p>
      <w:pPr>
        <w:pStyle w:val="FirstParagraph"/>
      </w:pPr>
      <w:r>
        <w:t xml:space="preserve">Potential interventions:</w:t>
      </w:r>
    </w:p>
    <w:p>
      <w:pPr>
        <w:pStyle w:val="Compact"/>
        <w:numPr>
          <w:ilvl w:val="0"/>
          <w:numId w:val="1021"/>
        </w:numPr>
      </w:pPr>
      <w:r>
        <w:t xml:space="preserve">Personalized development plans</w:t>
      </w:r>
    </w:p>
    <w:p>
      <w:pPr>
        <w:pStyle w:val="Compact"/>
        <w:numPr>
          <w:ilvl w:val="0"/>
          <w:numId w:val="1021"/>
        </w:numPr>
      </w:pPr>
      <w:r>
        <w:t xml:space="preserve">Career exploration opportunities</w:t>
      </w:r>
    </w:p>
    <w:p>
      <w:pPr>
        <w:pStyle w:val="Compact"/>
        <w:numPr>
          <w:ilvl w:val="0"/>
          <w:numId w:val="1021"/>
        </w:numPr>
      </w:pPr>
      <w:r>
        <w:t xml:space="preserve">Skill enhancement initiatives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ractical-applications"/>
    <w:p>
      <w:pPr>
        <w:pStyle w:val="Heading1"/>
      </w:pPr>
      <w:r>
        <w:t xml:space="preserve">9. Practical Applications</w:t>
      </w:r>
    </w:p>
    <w:bookmarkStart w:id="40" w:name="universities"/>
    <w:p>
      <w:pPr>
        <w:pStyle w:val="Heading2"/>
      </w:pPr>
      <w:r>
        <w:t xml:space="preserve">Universities</w:t>
      </w:r>
    </w:p>
    <w:p>
      <w:pPr>
        <w:pStyle w:val="Compact"/>
        <w:numPr>
          <w:ilvl w:val="0"/>
          <w:numId w:val="1022"/>
        </w:numPr>
      </w:pPr>
      <w:r>
        <w:t xml:space="preserve">Student support programs</w:t>
      </w:r>
    </w:p>
    <w:p>
      <w:pPr>
        <w:pStyle w:val="Compact"/>
        <w:numPr>
          <w:ilvl w:val="0"/>
          <w:numId w:val="1022"/>
        </w:numPr>
      </w:pPr>
      <w:r>
        <w:t xml:space="preserve">Academic intervention design</w:t>
      </w:r>
    </w:p>
    <w:p>
      <w:pPr>
        <w:pStyle w:val="Compact"/>
        <w:numPr>
          <w:ilvl w:val="0"/>
          <w:numId w:val="1022"/>
        </w:numPr>
      </w:pPr>
      <w:r>
        <w:t xml:space="preserve">Career development initiatives</w:t>
      </w:r>
    </w:p>
    <w:bookmarkEnd w:id="40"/>
    <w:bookmarkStart w:id="41" w:name="placement-cells"/>
    <w:p>
      <w:pPr>
        <w:pStyle w:val="Heading2"/>
      </w:pPr>
      <w:r>
        <w:t xml:space="preserve">Placement Cells</w:t>
      </w:r>
    </w:p>
    <w:p>
      <w:pPr>
        <w:pStyle w:val="Compact"/>
        <w:numPr>
          <w:ilvl w:val="0"/>
          <w:numId w:val="1023"/>
        </w:numPr>
      </w:pPr>
      <w:r>
        <w:t xml:space="preserve">Readiness assessment</w:t>
      </w:r>
    </w:p>
    <w:p>
      <w:pPr>
        <w:pStyle w:val="Compact"/>
        <w:numPr>
          <w:ilvl w:val="0"/>
          <w:numId w:val="1023"/>
        </w:numPr>
      </w:pPr>
      <w:r>
        <w:t xml:space="preserve">Targeted preparation strategies</w:t>
      </w:r>
    </w:p>
    <w:p>
      <w:pPr>
        <w:pStyle w:val="Compact"/>
        <w:numPr>
          <w:ilvl w:val="0"/>
          <w:numId w:val="1023"/>
        </w:numPr>
      </w:pPr>
      <w:r>
        <w:t xml:space="preserve">Personalized placement support</w:t>
      </w:r>
    </w:p>
    <w:bookmarkEnd w:id="41"/>
    <w:bookmarkStart w:id="42" w:name="edtech-platforms"/>
    <w:p>
      <w:pPr>
        <w:pStyle w:val="Heading2"/>
      </w:pPr>
      <w:r>
        <w:t xml:space="preserve">EdTech Platforms</w:t>
      </w:r>
    </w:p>
    <w:p>
      <w:pPr>
        <w:pStyle w:val="Compact"/>
        <w:numPr>
          <w:ilvl w:val="0"/>
          <w:numId w:val="1024"/>
        </w:numPr>
      </w:pPr>
      <w:r>
        <w:t xml:space="preserve">Personalized learning experiences</w:t>
      </w:r>
    </w:p>
    <w:p>
      <w:pPr>
        <w:pStyle w:val="Compact"/>
        <w:numPr>
          <w:ilvl w:val="0"/>
          <w:numId w:val="1024"/>
        </w:numPr>
      </w:pPr>
      <w:r>
        <w:t xml:space="preserve">Student engagement strategies</w:t>
      </w:r>
    </w:p>
    <w:p>
      <w:pPr>
        <w:pStyle w:val="Compact"/>
        <w:numPr>
          <w:ilvl w:val="0"/>
          <w:numId w:val="1024"/>
        </w:numPr>
      </w:pPr>
      <w:r>
        <w:t xml:space="preserve">AI adoption monitoring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limitations"/>
    <w:p>
      <w:pPr>
        <w:pStyle w:val="Heading1"/>
      </w:pPr>
      <w:r>
        <w:t xml:space="preserve">10. Limitations</w:t>
      </w:r>
    </w:p>
    <w:bookmarkStart w:id="44" w:name="synthetic-dataset"/>
    <w:p>
      <w:pPr>
        <w:pStyle w:val="Heading3"/>
      </w:pPr>
      <w:r>
        <w:t xml:space="preserve">Synthetic Dataset</w:t>
      </w:r>
    </w:p>
    <w:p>
      <w:pPr>
        <w:pStyle w:val="FirstParagraph"/>
      </w:pPr>
      <w:r>
        <w:t xml:space="preserve">The dataset was obtained from Kaggle and may not perfectly reflect real-world student populations.</w:t>
      </w:r>
    </w:p>
    <w:bookmarkEnd w:id="44"/>
    <w:bookmarkStart w:id="45" w:name="behavioral-overlap"/>
    <w:p>
      <w:pPr>
        <w:pStyle w:val="Heading3"/>
      </w:pPr>
      <w:r>
        <w:t xml:space="preserve">Behavioral Overlap</w:t>
      </w:r>
    </w:p>
    <w:p>
      <w:pPr>
        <w:pStyle w:val="FirstParagraph"/>
      </w:pPr>
      <w:r>
        <w:t xml:space="preserve">Student behaviors naturally overlap, limiting complete cluster separation.</w:t>
      </w:r>
    </w:p>
    <w:bookmarkEnd w:id="45"/>
    <w:bookmarkStart w:id="46" w:name="unsupervised-interpretation"/>
    <w:p>
      <w:pPr>
        <w:pStyle w:val="Heading3"/>
      </w:pPr>
      <w:r>
        <w:t xml:space="preserve">Unsupervised Interpretation</w:t>
      </w:r>
    </w:p>
    <w:p>
      <w:pPr>
        <w:pStyle w:val="FirstParagraph"/>
      </w:pPr>
      <w:r>
        <w:t xml:space="preserve">Persona labels are descriptive interpretations generated after clustering and should not be treated as definitive student categories.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uture-improvements"/>
    <w:p>
      <w:pPr>
        <w:pStyle w:val="Heading1"/>
      </w:pPr>
      <w:r>
        <w:t xml:space="preserve">11. Future Improvements</w:t>
      </w:r>
    </w:p>
    <w:p>
      <w:pPr>
        <w:pStyle w:val="Compact"/>
        <w:numPr>
          <w:ilvl w:val="0"/>
          <w:numId w:val="1025"/>
        </w:numPr>
      </w:pPr>
      <w:r>
        <w:t xml:space="preserve">Hierarchical clustering comparison</w:t>
      </w:r>
    </w:p>
    <w:p>
      <w:pPr>
        <w:pStyle w:val="Compact"/>
        <w:numPr>
          <w:ilvl w:val="0"/>
          <w:numId w:val="1025"/>
        </w:numPr>
      </w:pPr>
      <w:r>
        <w:t xml:space="preserve">Gaussian Mixture Models</w:t>
      </w:r>
    </w:p>
    <w:p>
      <w:pPr>
        <w:pStyle w:val="Compact"/>
        <w:numPr>
          <w:ilvl w:val="0"/>
          <w:numId w:val="1025"/>
        </w:numPr>
      </w:pPr>
      <w:r>
        <w:t xml:space="preserve">Cluster stability analysis</w:t>
      </w:r>
    </w:p>
    <w:p>
      <w:pPr>
        <w:pStyle w:val="Compact"/>
        <w:numPr>
          <w:ilvl w:val="0"/>
          <w:numId w:val="1025"/>
        </w:numPr>
      </w:pPr>
      <w:r>
        <w:t xml:space="preserve">Explainable clustering frameworks</w:t>
      </w:r>
    </w:p>
    <w:p>
      <w:pPr>
        <w:pStyle w:val="Compact"/>
        <w:numPr>
          <w:ilvl w:val="0"/>
          <w:numId w:val="1025"/>
        </w:numPr>
      </w:pPr>
      <w:r>
        <w:t xml:space="preserve">Real-world survey validation</w:t>
      </w:r>
    </w:p>
    <w:p>
      <w:pPr>
        <w:pStyle w:val="Compact"/>
        <w:numPr>
          <w:ilvl w:val="0"/>
          <w:numId w:val="1025"/>
        </w:numPr>
      </w:pPr>
      <w:r>
        <w:t xml:space="preserve">Longitudinal student tracking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This project demonstrates a complete unsupervised learning workflow for discovering student personas. By combining PCA-based feature reduction, K-Means clustering, cluster validation metrics, and visualization through PCA, t-SNE, and UMAP, the analysis uncovers meaningful behavioral patterns related to AI adoption, learning habits, career preparedness, and psychological well-being.</w:t>
      </w:r>
    </w:p>
    <w:p>
      <w:pPr>
        <w:pStyle w:val="BodyText"/>
      </w:pPr>
      <w:r>
        <w:t xml:space="preserve">The resulting personas provide an interpretable framework for understanding diverse student needs and can support targeted educational and career-development interventions.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