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1F13" w14:textId="77777777" w:rsidR="00BE21C9" w:rsidRDefault="00000000">
      <w:pPr>
        <w:ind w:left="2160"/>
        <w:jc w:val="both"/>
        <w:rPr>
          <w:b/>
          <w:bCs/>
          <w:sz w:val="34"/>
          <w:szCs w:val="34"/>
        </w:rPr>
      </w:pPr>
      <w:r>
        <w:rPr>
          <w:b/>
          <w:bCs/>
          <w:sz w:val="34"/>
          <w:szCs w:val="34"/>
        </w:rPr>
        <w:t>Financial Question Answering</w:t>
      </w:r>
    </w:p>
    <w:p w14:paraId="32B8EFE6" w14:textId="77777777" w:rsidR="00BE21C9" w:rsidRDefault="00000000">
      <w:pPr>
        <w:jc w:val="both"/>
      </w:pPr>
      <w:r>
        <w:t xml:space="preserve"> </w:t>
      </w:r>
    </w:p>
    <w:p w14:paraId="7BD815C8" w14:textId="77777777" w:rsidR="00BE21C9" w:rsidRDefault="00000000">
      <w:pPr>
        <w:jc w:val="both"/>
      </w:pPr>
      <w:r>
        <w:t xml:space="preserve">Financial analysis requires extensive manual review of lengthy SEC 10-K filings which is time consuming and error-prone. This research addresses the challenge of efficient information retrieval from financial documents by developing a hybrid retrieval system that combines lexical search (BM25), dense retrieval (fine-tuned sentence transformers), and cross-encoder reranking. The approach was evaluated on the </w:t>
      </w:r>
      <w:proofErr w:type="spellStart"/>
      <w:r>
        <w:t>FinDER</w:t>
      </w:r>
      <w:proofErr w:type="spellEnd"/>
      <w:r>
        <w:t xml:space="preserve"> (Financial Document Expert Retrieval) dataset, which contains 5,703 expert-annotated query document pairs from real SEC 10-K filings.</w:t>
      </w:r>
    </w:p>
    <w:p w14:paraId="2BC88195" w14:textId="77777777" w:rsidR="00BE21C9" w:rsidRDefault="00000000">
      <w:pPr>
        <w:jc w:val="both"/>
      </w:pPr>
      <w:r>
        <w:t>The results demonstrate that pure lexical search achieves only 10% Recall@20, confirming that keyword matching fails to capture semantic and numerical relationships in financial texts. Fine-tuned dense encoders improve performance significantly, achieving 37.1% Recall@20 (3.7× improvement) and an MRR of 0.138 (3.6× improvement) over the lexical baseline. The hybrid approach combining dense retrieval with BERT-based reranking delivers the best results across all metrics, achieving 39.4% Recall@20, 0.224 MRR, and 0.260 nDCG@20. By further widening the dual retriever candidate pool from 200 to 500 results per retriever and rebuilding dense search on FAISS for scale, the system raises RRF retrieval recall from 63% to 74.7% which is an additional 18.6% relative improvement meaning the correct passage now appears in the fused candidate pool for nearly three in four queries, with reranking continuing to concentrate correct answers near rank 3 on average among retrieved queries.</w:t>
      </w:r>
    </w:p>
    <w:p w14:paraId="46200892" w14:textId="77777777" w:rsidR="00BE21C9" w:rsidRDefault="00000000">
      <w:pPr>
        <w:jc w:val="both"/>
      </w:pPr>
      <w:r>
        <w:t>The proposed framework highlights the importance of multi-stage retrieval architectures for high-stakes financial document understanding and provides practical insights for deployment</w:t>
      </w:r>
    </w:p>
    <w:p w14:paraId="55F5A1E7" w14:textId="77777777" w:rsidR="00BE21C9" w:rsidRDefault="00000000">
      <w:pPr>
        <w:jc w:val="both"/>
      </w:pPr>
      <w:r>
        <w:t>in analyst-facing systems.</w:t>
      </w:r>
    </w:p>
    <w:p w14:paraId="4B510517" w14:textId="77777777" w:rsidR="00BE21C9" w:rsidRDefault="00000000">
      <w:pPr>
        <w:jc w:val="both"/>
      </w:pPr>
      <w:r>
        <w:t xml:space="preserve"> </w:t>
      </w:r>
    </w:p>
    <w:p w14:paraId="7E3D2BF4" w14:textId="77777777" w:rsidR="00BE21C9" w:rsidRDefault="00000000">
      <w:pPr>
        <w:jc w:val="both"/>
        <w:rPr>
          <w:b/>
          <w:bCs/>
          <w:sz w:val="28"/>
          <w:szCs w:val="28"/>
        </w:rPr>
      </w:pPr>
      <w:r>
        <w:rPr>
          <w:b/>
          <w:bCs/>
          <w:sz w:val="28"/>
          <w:szCs w:val="28"/>
        </w:rPr>
        <w:t>1. Introduction</w:t>
      </w:r>
    </w:p>
    <w:p w14:paraId="0BCC1F5D" w14:textId="77777777" w:rsidR="00BE21C9" w:rsidRDefault="00000000">
      <w:pPr>
        <w:jc w:val="both"/>
      </w:pPr>
      <w:r>
        <w:t>Financial analysts, auditors, and compliance professionals routinely rely on SEC 10-K filings to extract critical information regarding risk factors, revenue breakdowns, accounting policies, and forward-looking statements. These documents often exceed hundreds of pages, are written in dense legal-financial language, and contain substantial redundancy across sections. As a result, manual information retrieval is both inefficient and susceptible to human error.</w:t>
      </w:r>
    </w:p>
    <w:p w14:paraId="30DBDFAB" w14:textId="77777777" w:rsidR="00BE21C9" w:rsidRDefault="00000000">
      <w:pPr>
        <w:jc w:val="both"/>
      </w:pPr>
      <w:r>
        <w:t>The challenge facing financial professionals is multifaceted. First, the sheer volume of information makes comprehensive analysis time-prohibitive—a single 10-K filing may contain 50,000 to 200,000 words spread across multiple sections. Second, the information is often redundant or scattered across different sections, making it difficult to locate specific facts or figures. Third, financial queries frequently involve numerical relationships, temporal comparisons, and domain-specific terminology that traditional keyword search fails to capture effectively.</w:t>
      </w:r>
    </w:p>
    <w:p w14:paraId="7E207564" w14:textId="77777777" w:rsidR="00BE21C9" w:rsidRDefault="00000000">
      <w:pPr>
        <w:jc w:val="both"/>
        <w:rPr>
          <w:b/>
          <w:bCs/>
        </w:rPr>
      </w:pPr>
      <w:r>
        <w:rPr>
          <w:b/>
          <w:bCs/>
        </w:rPr>
        <w:t xml:space="preserve"> </w:t>
      </w:r>
    </w:p>
    <w:p w14:paraId="3E44681A" w14:textId="77777777" w:rsidR="00BE21C9" w:rsidRDefault="00000000">
      <w:pPr>
        <w:jc w:val="both"/>
        <w:rPr>
          <w:b/>
          <w:bCs/>
          <w:sz w:val="28"/>
          <w:szCs w:val="28"/>
        </w:rPr>
      </w:pPr>
      <w:r>
        <w:rPr>
          <w:b/>
          <w:bCs/>
          <w:sz w:val="28"/>
          <w:szCs w:val="28"/>
        </w:rPr>
        <w:t>2. Literature Review</w:t>
      </w:r>
    </w:p>
    <w:p w14:paraId="615A8123" w14:textId="77777777" w:rsidR="00BE21C9" w:rsidRDefault="00000000">
      <w:pPr>
        <w:jc w:val="both"/>
      </w:pPr>
      <w:r>
        <w:t xml:space="preserve">Early financial document retrieval systems primarily relied on keyword-based information retrieval, with BM25 remaining a strong baseline due to its interpretability and robustness. However, lexical methods suffer from vocabulary mismatch and fail to capture semantic similarity. Recent advances in dense retrieval using transformer-based encoders (e.g., Sentence-BERT) have demonstrated strong performance in semantic search tasks. Hybrid retrieval approaches combining dense and lexical signals have emerged as a promising solution. Reciprocal Rank </w:t>
      </w:r>
      <w:r>
        <w:lastRenderedPageBreak/>
        <w:t xml:space="preserve">Fusion (RRF) has been shown to improve recall by aggregating heterogeneous retrieval signals. In parallel, cross-encoder </w:t>
      </w:r>
      <w:proofErr w:type="spellStart"/>
      <w:r>
        <w:t>rerankers</w:t>
      </w:r>
      <w:proofErr w:type="spellEnd"/>
      <w:r>
        <w:t xml:space="preserve"> based on BERT style architectures provide fine-grained relevance estimation at the cost of computational efficiency. Within the financial domain, datasets such as </w:t>
      </w:r>
      <w:proofErr w:type="spellStart"/>
      <w:r>
        <w:t>FinDER</w:t>
      </w:r>
      <w:proofErr w:type="spellEnd"/>
      <w:r>
        <w:t xml:space="preserve">, </w:t>
      </w:r>
      <w:proofErr w:type="spellStart"/>
      <w:r>
        <w:t>FinanceBench</w:t>
      </w:r>
      <w:proofErr w:type="spellEnd"/>
      <w:r>
        <w:t xml:space="preserve">, and </w:t>
      </w:r>
      <w:proofErr w:type="spellStart"/>
      <w:r>
        <w:t>FiQA</w:t>
      </w:r>
      <w:proofErr w:type="spellEnd"/>
      <w:r>
        <w:t xml:space="preserve"> emphasize the need for evidence- based QA rather than answer-only evaluation. However, limited work systematically evaluates retrieval architectures</w:t>
      </w:r>
    </w:p>
    <w:p w14:paraId="681917CB" w14:textId="77777777" w:rsidR="00BE21C9" w:rsidRDefault="00000000">
      <w:pPr>
        <w:jc w:val="both"/>
      </w:pPr>
      <w:r>
        <w:t>under expert annotated supervision for long regulatory documents. This project addresses this gap by analyzing dense, lexical, hybrid, and reranking strategies under a unified experimental framework</w:t>
      </w:r>
    </w:p>
    <w:p w14:paraId="25B2BF28" w14:textId="77777777" w:rsidR="00BE21C9" w:rsidRDefault="00000000">
      <w:pPr>
        <w:jc w:val="both"/>
      </w:pPr>
      <w:r>
        <w:t xml:space="preserve"> </w:t>
      </w:r>
    </w:p>
    <w:p w14:paraId="555C3766" w14:textId="77777777" w:rsidR="00BE21C9" w:rsidRDefault="00000000">
      <w:pPr>
        <w:jc w:val="both"/>
        <w:rPr>
          <w:b/>
          <w:bCs/>
          <w:sz w:val="28"/>
          <w:szCs w:val="28"/>
        </w:rPr>
      </w:pPr>
      <w:r>
        <w:rPr>
          <w:b/>
          <w:bCs/>
          <w:sz w:val="28"/>
          <w:szCs w:val="28"/>
        </w:rPr>
        <w:t>3. Methodology</w:t>
      </w:r>
    </w:p>
    <w:p w14:paraId="4DC6240A" w14:textId="77777777" w:rsidR="00BE21C9" w:rsidRDefault="00000000">
      <w:pPr>
        <w:jc w:val="both"/>
      </w:pPr>
      <w:r>
        <w:t>The methodology consists of four main stages: data preparation and preprocessing, document chunking and indexing, retrieval model development, and evaluation.</w:t>
      </w:r>
    </w:p>
    <w:p w14:paraId="45616142" w14:textId="77777777" w:rsidR="00BE21C9" w:rsidRDefault="00000000">
      <w:pPr>
        <w:jc w:val="both"/>
        <w:rPr>
          <w:b/>
          <w:bCs/>
          <w:sz w:val="24"/>
          <w:szCs w:val="24"/>
        </w:rPr>
      </w:pPr>
      <w:r>
        <w:rPr>
          <w:b/>
          <w:bCs/>
          <w:sz w:val="24"/>
          <w:szCs w:val="24"/>
        </w:rPr>
        <w:t>3.1 Data Sources</w:t>
      </w:r>
    </w:p>
    <w:p w14:paraId="43DD01B6" w14:textId="77777777" w:rsidR="00BE21C9" w:rsidRDefault="00000000">
      <w:pPr>
        <w:jc w:val="both"/>
      </w:pPr>
      <w:r>
        <w:t>SEC 10-K Filings SEC 10-K annual reports from all S&amp;P 500 companies are publicly available through the SEC’s EDGAR database in HTML/XML format. Each 10-K filing follows a standardized structure mandated by the SEC as given below:</w:t>
      </w:r>
    </w:p>
    <w:p w14:paraId="109769B4" w14:textId="77777777" w:rsidR="00BE21C9" w:rsidRDefault="00000000">
      <w:pPr>
        <w:jc w:val="both"/>
      </w:pPr>
      <w:r>
        <w:t>• Item 1: Business Overview</w:t>
      </w:r>
    </w:p>
    <w:p w14:paraId="1BBED5EA" w14:textId="77777777" w:rsidR="00BE21C9" w:rsidRDefault="00000000">
      <w:pPr>
        <w:jc w:val="both"/>
      </w:pPr>
      <w:r>
        <w:t>• Item 1A: Risk Factors</w:t>
      </w:r>
    </w:p>
    <w:p w14:paraId="03213C57" w14:textId="77777777" w:rsidR="00BE21C9" w:rsidRDefault="00000000">
      <w:pPr>
        <w:jc w:val="both"/>
      </w:pPr>
      <w:r>
        <w:t>• Item 2: Properties</w:t>
      </w:r>
    </w:p>
    <w:p w14:paraId="2D149047" w14:textId="77777777" w:rsidR="00BE21C9" w:rsidRDefault="00000000">
      <w:pPr>
        <w:jc w:val="both"/>
      </w:pPr>
      <w:r>
        <w:t>• Item 3: Legal Proceedings</w:t>
      </w:r>
    </w:p>
    <w:p w14:paraId="08EFAFE4" w14:textId="77777777" w:rsidR="00BE21C9" w:rsidRDefault="00000000">
      <w:pPr>
        <w:jc w:val="both"/>
      </w:pPr>
      <w:r>
        <w:t>• Item 7: Management’s Discussion and Analysis (MD&amp;A)</w:t>
      </w:r>
    </w:p>
    <w:p w14:paraId="6E3B7BDE" w14:textId="77777777" w:rsidR="00BE21C9" w:rsidRDefault="00000000">
      <w:pPr>
        <w:jc w:val="both"/>
      </w:pPr>
      <w:r>
        <w:t>• Item 8: Financial Statements and Supplementary Data</w:t>
      </w:r>
    </w:p>
    <w:p w14:paraId="7B0BDCC5" w14:textId="77777777" w:rsidR="00BE21C9" w:rsidRDefault="00000000">
      <w:pPr>
        <w:jc w:val="both"/>
      </w:pPr>
      <w:r>
        <w:t>• Item 9: Changes in Accounting</w:t>
      </w:r>
    </w:p>
    <w:p w14:paraId="11216BC7" w14:textId="77777777" w:rsidR="00BE21C9" w:rsidRDefault="00000000">
      <w:pPr>
        <w:jc w:val="both"/>
      </w:pPr>
      <w:r>
        <w:t>• Item 9A: Controls and Procedures</w:t>
      </w:r>
    </w:p>
    <w:p w14:paraId="4A306EA9" w14:textId="77777777" w:rsidR="00BE21C9" w:rsidRDefault="00000000">
      <w:pPr>
        <w:jc w:val="both"/>
      </w:pPr>
      <w:r>
        <w:t>• Item 10: Directors and Governance</w:t>
      </w:r>
    </w:p>
    <w:p w14:paraId="3F121A2B" w14:textId="77777777" w:rsidR="00BE21C9" w:rsidRDefault="00000000">
      <w:pPr>
        <w:jc w:val="both"/>
      </w:pPr>
      <w:proofErr w:type="spellStart"/>
      <w:r>
        <w:t>FinDER</w:t>
      </w:r>
      <w:proofErr w:type="spellEnd"/>
      <w:r>
        <w:t xml:space="preserve"> Dataset </w:t>
      </w:r>
      <w:proofErr w:type="gramStart"/>
      <w:r>
        <w:t>The</w:t>
      </w:r>
      <w:proofErr w:type="gramEnd"/>
      <w:r>
        <w:t xml:space="preserve"> </w:t>
      </w:r>
      <w:proofErr w:type="spellStart"/>
      <w:r>
        <w:t>FinDER</w:t>
      </w:r>
      <w:proofErr w:type="spellEnd"/>
      <w:r>
        <w:t xml:space="preserve"> (Financial Document Expert Retrieval) dataset serves as our primary evaluation and training resource. Created by financial domain experts, </w:t>
      </w:r>
      <w:proofErr w:type="spellStart"/>
      <w:r>
        <w:t>FinDER</w:t>
      </w:r>
      <w:proofErr w:type="spellEnd"/>
      <w:r>
        <w:t xml:space="preserve"> contains 5,703 query document pairs spanning eight question categories:</w:t>
      </w:r>
    </w:p>
    <w:p w14:paraId="3482B61E" w14:textId="77777777" w:rsidR="00BE21C9" w:rsidRDefault="00000000">
      <w:pPr>
        <w:jc w:val="both"/>
      </w:pPr>
      <w:r>
        <w:t>• Company Overview (18.95%): Questions about business operations, products, services</w:t>
      </w:r>
    </w:p>
    <w:p w14:paraId="15917637" w14:textId="77777777" w:rsidR="00BE21C9" w:rsidRDefault="00000000">
      <w:pPr>
        <w:jc w:val="both"/>
      </w:pPr>
      <w:r>
        <w:t>• Financials (17.36%): Revenue, profit, expense queries</w:t>
      </w:r>
    </w:p>
    <w:p w14:paraId="0870E33E" w14:textId="77777777" w:rsidR="00BE21C9" w:rsidRDefault="00000000">
      <w:pPr>
        <w:jc w:val="both"/>
      </w:pPr>
      <w:r>
        <w:t>• Footnotes (16.71%): Details from financial statement footnotes</w:t>
      </w:r>
    </w:p>
    <w:p w14:paraId="6DCA6B08" w14:textId="77777777" w:rsidR="00BE21C9" w:rsidRDefault="00000000">
      <w:pPr>
        <w:jc w:val="both"/>
      </w:pPr>
      <w:r>
        <w:t>• Governance (12.59%): Board composition, executive compensation</w:t>
      </w:r>
    </w:p>
    <w:p w14:paraId="097903E0" w14:textId="77777777" w:rsidR="00BE21C9" w:rsidRDefault="00000000">
      <w:pPr>
        <w:jc w:val="both"/>
      </w:pPr>
      <w:r>
        <w:t>• Accounting (8.61%): Accounting policies and changes</w:t>
      </w:r>
    </w:p>
    <w:p w14:paraId="0296667F" w14:textId="77777777" w:rsidR="00BE21C9" w:rsidRDefault="00000000">
      <w:pPr>
        <w:jc w:val="both"/>
      </w:pPr>
      <w:r>
        <w:t>• Risk (8.59%): Risk factor identification</w:t>
      </w:r>
    </w:p>
    <w:p w14:paraId="5EE6B980" w14:textId="77777777" w:rsidR="00BE21C9" w:rsidRDefault="00000000">
      <w:pPr>
        <w:jc w:val="both"/>
      </w:pPr>
      <w:r>
        <w:t>• Legal (8.59%): Litigation and legal proceedings</w:t>
      </w:r>
    </w:p>
    <w:p w14:paraId="54675983" w14:textId="77777777" w:rsidR="00BE21C9" w:rsidRDefault="00000000">
      <w:pPr>
        <w:jc w:val="both"/>
      </w:pPr>
      <w:r>
        <w:t>• Shareholder Return (8.59%): Dividends, stock performance</w:t>
      </w:r>
    </w:p>
    <w:p w14:paraId="1BE1EAA8" w14:textId="77777777" w:rsidR="00BE21C9" w:rsidRDefault="00000000">
      <w:pPr>
        <w:jc w:val="both"/>
        <w:rPr>
          <w:b/>
          <w:bCs/>
          <w:sz w:val="24"/>
          <w:szCs w:val="24"/>
        </w:rPr>
      </w:pPr>
      <w:r>
        <w:rPr>
          <w:b/>
          <w:bCs/>
          <w:sz w:val="24"/>
          <w:szCs w:val="24"/>
        </w:rPr>
        <w:t xml:space="preserve"> </w:t>
      </w:r>
    </w:p>
    <w:p w14:paraId="44F3F05E" w14:textId="77777777" w:rsidR="00BE21C9" w:rsidRDefault="00BE21C9">
      <w:pPr>
        <w:jc w:val="both"/>
        <w:rPr>
          <w:b/>
          <w:bCs/>
          <w:sz w:val="24"/>
          <w:szCs w:val="24"/>
        </w:rPr>
      </w:pPr>
    </w:p>
    <w:p w14:paraId="5D592EF9" w14:textId="77777777" w:rsidR="00BE21C9" w:rsidRDefault="00BE21C9">
      <w:pPr>
        <w:jc w:val="both"/>
        <w:rPr>
          <w:b/>
          <w:bCs/>
          <w:sz w:val="24"/>
          <w:szCs w:val="24"/>
        </w:rPr>
      </w:pPr>
    </w:p>
    <w:p w14:paraId="416BE4B8" w14:textId="77777777" w:rsidR="00BE21C9" w:rsidRDefault="00BE21C9">
      <w:pPr>
        <w:jc w:val="both"/>
        <w:rPr>
          <w:b/>
          <w:bCs/>
          <w:sz w:val="24"/>
          <w:szCs w:val="24"/>
        </w:rPr>
      </w:pPr>
    </w:p>
    <w:p w14:paraId="1CA5342C" w14:textId="77777777" w:rsidR="003A35D7" w:rsidRDefault="003A35D7">
      <w:pPr>
        <w:jc w:val="both"/>
        <w:rPr>
          <w:b/>
          <w:bCs/>
          <w:sz w:val="24"/>
          <w:szCs w:val="24"/>
        </w:rPr>
      </w:pPr>
    </w:p>
    <w:p w14:paraId="12E32AEF" w14:textId="77777777" w:rsidR="003A35D7" w:rsidRDefault="003A35D7">
      <w:pPr>
        <w:jc w:val="both"/>
        <w:rPr>
          <w:b/>
          <w:bCs/>
          <w:sz w:val="24"/>
          <w:szCs w:val="24"/>
        </w:rPr>
      </w:pPr>
    </w:p>
    <w:p w14:paraId="63322DA6" w14:textId="08CF46FE" w:rsidR="00BE21C9" w:rsidRDefault="00000000">
      <w:pPr>
        <w:jc w:val="both"/>
        <w:rPr>
          <w:b/>
          <w:bCs/>
          <w:sz w:val="24"/>
          <w:szCs w:val="24"/>
        </w:rPr>
      </w:pPr>
      <w:r>
        <w:rPr>
          <w:b/>
          <w:bCs/>
          <w:sz w:val="24"/>
          <w:szCs w:val="24"/>
        </w:rPr>
        <w:lastRenderedPageBreak/>
        <w:t>3.2 Data Preprocessing</w:t>
      </w:r>
    </w:p>
    <w:p w14:paraId="15BE790D" w14:textId="1129B894" w:rsidR="00BE21C9" w:rsidRPr="003A35D7" w:rsidRDefault="00000000">
      <w:pPr>
        <w:jc w:val="both"/>
        <w:rPr>
          <w:b/>
          <w:bCs/>
          <w:sz w:val="24"/>
          <w:szCs w:val="24"/>
        </w:rPr>
      </w:pPr>
      <w:r>
        <w:rPr>
          <w:b/>
          <w:bCs/>
          <w:sz w:val="24"/>
          <w:szCs w:val="24"/>
        </w:rPr>
        <w:t xml:space="preserve"> </w:t>
      </w:r>
      <w:r w:rsidR="003A35D7">
        <w:rPr>
          <w:b/>
          <w:bCs/>
          <w:sz w:val="24"/>
          <w:szCs w:val="24"/>
        </w:rPr>
        <w:br/>
      </w:r>
      <w:r>
        <w:rPr>
          <w:b/>
          <w:bCs/>
        </w:rPr>
        <w:t>3.2.1 HTML to Text Conversion</w:t>
      </w:r>
    </w:p>
    <w:p w14:paraId="4736A384" w14:textId="77777777" w:rsidR="00BE21C9" w:rsidRDefault="00000000">
      <w:pPr>
        <w:jc w:val="both"/>
      </w:pPr>
      <w:r>
        <w:t>Raw SEC filings contain HTML markup, tables, inline XBRL tags, and other formatting elements. This process removes HTML tags while preserving document structure through paragraph breaks.</w:t>
      </w:r>
    </w:p>
    <w:p w14:paraId="162BD6D9" w14:textId="77777777" w:rsidR="00BE21C9" w:rsidRDefault="00000000">
      <w:pPr>
        <w:jc w:val="both"/>
      </w:pPr>
      <w:r>
        <w:t xml:space="preserve"> </w:t>
      </w:r>
    </w:p>
    <w:p w14:paraId="2ADDF8C8" w14:textId="77777777" w:rsidR="00BE21C9" w:rsidRDefault="00000000">
      <w:pPr>
        <w:jc w:val="both"/>
        <w:rPr>
          <w:b/>
          <w:bCs/>
        </w:rPr>
      </w:pPr>
      <w:r>
        <w:rPr>
          <w:b/>
          <w:bCs/>
        </w:rPr>
        <w:t>3.2.2 Section Extraction</w:t>
      </w:r>
    </w:p>
    <w:p w14:paraId="209DE21B" w14:textId="77777777" w:rsidR="00BE21C9" w:rsidRDefault="00000000">
      <w:pPr>
        <w:jc w:val="both"/>
      </w:pPr>
      <w:r>
        <w:t xml:space="preserve">Regex based patterns were implemented to extract specific sections from 10-K filings. The challenge lies in variations in section formatting across companies. It focusses on seven key sections that align with </w:t>
      </w:r>
      <w:proofErr w:type="spellStart"/>
      <w:r>
        <w:t>FinDER</w:t>
      </w:r>
      <w:proofErr w:type="spellEnd"/>
      <w:r>
        <w:t xml:space="preserve"> query categories: Business Overview (Item 1), Risk Factors (Item 1A), MD&amp;A (Item 7), Accounting Changes (Item 9), Governance (Item 10), Security Ownership (Item 12), and Legal Proceedings (Item 3).</w:t>
      </w:r>
    </w:p>
    <w:p w14:paraId="63F7EA4B" w14:textId="77777777" w:rsidR="00BE21C9" w:rsidRDefault="00000000">
      <w:pPr>
        <w:jc w:val="both"/>
      </w:pPr>
      <w:r>
        <w:t xml:space="preserve"> </w:t>
      </w:r>
    </w:p>
    <w:p w14:paraId="38E419D6" w14:textId="77777777" w:rsidR="00BE21C9" w:rsidRDefault="00000000">
      <w:pPr>
        <w:jc w:val="both"/>
        <w:rPr>
          <w:b/>
          <w:bCs/>
          <w:sz w:val="24"/>
          <w:szCs w:val="24"/>
        </w:rPr>
      </w:pPr>
      <w:r>
        <w:rPr>
          <w:b/>
          <w:bCs/>
          <w:sz w:val="24"/>
          <w:szCs w:val="24"/>
        </w:rPr>
        <w:t>3.3 Data Preparation</w:t>
      </w:r>
    </w:p>
    <w:p w14:paraId="21BFF15F" w14:textId="77777777" w:rsidR="00BE21C9" w:rsidRDefault="00000000">
      <w:pPr>
        <w:jc w:val="both"/>
        <w:rPr>
          <w:b/>
          <w:bCs/>
        </w:rPr>
      </w:pPr>
      <w:r>
        <w:rPr>
          <w:b/>
          <w:bCs/>
        </w:rPr>
        <w:t xml:space="preserve"> </w:t>
      </w:r>
    </w:p>
    <w:p w14:paraId="5B9BA00D" w14:textId="77777777" w:rsidR="00BE21C9" w:rsidRDefault="00000000">
      <w:pPr>
        <w:jc w:val="both"/>
        <w:rPr>
          <w:b/>
          <w:bCs/>
        </w:rPr>
      </w:pPr>
      <w:r>
        <w:rPr>
          <w:b/>
          <w:bCs/>
        </w:rPr>
        <w:t>3.3.1 Chunking Strategy</w:t>
      </w:r>
    </w:p>
    <w:p w14:paraId="7C580B0E" w14:textId="77777777" w:rsidR="00BE21C9" w:rsidRDefault="00000000">
      <w:pPr>
        <w:jc w:val="both"/>
      </w:pPr>
      <w:r>
        <w:t>Long documents cannot be processed directly by neural models due to sequence length limitations and computational constraints. We implemented a token-based sliding window chunking strategy optimized for financial documents:</w:t>
      </w:r>
    </w:p>
    <w:p w14:paraId="58AD0D59" w14:textId="77777777" w:rsidR="00BE21C9" w:rsidRDefault="00000000">
      <w:pPr>
        <w:jc w:val="both"/>
      </w:pPr>
      <w:r>
        <w:t>Chunking Parameters:</w:t>
      </w:r>
    </w:p>
    <w:p w14:paraId="01E5F384" w14:textId="77777777" w:rsidR="00BE21C9" w:rsidRDefault="00000000">
      <w:pPr>
        <w:ind w:left="720"/>
        <w:jc w:val="both"/>
      </w:pPr>
      <w:r>
        <w:t>•Window Size: 300 tokens (approximately 225-250 words)</w:t>
      </w:r>
    </w:p>
    <w:p w14:paraId="6DBBBCCF" w14:textId="77777777" w:rsidR="00BE21C9" w:rsidRDefault="00000000">
      <w:pPr>
        <w:ind w:left="720"/>
        <w:jc w:val="both"/>
      </w:pPr>
      <w:r>
        <w:t>• Overlap: 100 tokens (33% overlap)</w:t>
      </w:r>
    </w:p>
    <w:p w14:paraId="56473155" w14:textId="77777777" w:rsidR="00BE21C9" w:rsidRDefault="00000000">
      <w:pPr>
        <w:ind w:left="720"/>
        <w:jc w:val="both"/>
      </w:pPr>
      <w:r>
        <w:t>• Rationale:</w:t>
      </w:r>
    </w:p>
    <w:p w14:paraId="043C7C73" w14:textId="77777777" w:rsidR="00BE21C9" w:rsidRDefault="00000000">
      <w:pPr>
        <w:ind w:left="1440"/>
        <w:jc w:val="both"/>
      </w:pPr>
      <w:r>
        <w:t xml:space="preserve">(1) 300 tokens </w:t>
      </w:r>
      <w:proofErr w:type="gramStart"/>
      <w:r>
        <w:t>fits</w:t>
      </w:r>
      <w:proofErr w:type="gramEnd"/>
      <w:r>
        <w:t xml:space="preserve"> within model capacity while providing sufficient context</w:t>
      </w:r>
    </w:p>
    <w:p w14:paraId="1F7EF0D7" w14:textId="77777777" w:rsidR="00BE21C9" w:rsidRDefault="00000000">
      <w:pPr>
        <w:ind w:left="1440"/>
        <w:jc w:val="both"/>
      </w:pPr>
      <w:r>
        <w:t>(2) 100-token overlap ensures relevant information isn’t split across chunk boundaries</w:t>
      </w:r>
    </w:p>
    <w:p w14:paraId="63EA3042" w14:textId="77777777" w:rsidR="00BE21C9" w:rsidRDefault="00000000">
      <w:pPr>
        <w:ind w:left="1440"/>
        <w:jc w:val="both"/>
      </w:pPr>
      <w:r>
        <w:t>(3) Overlap is particularly important for financial data where context from surrounding sentences matters</w:t>
      </w:r>
    </w:p>
    <w:p w14:paraId="2A4A511C" w14:textId="77777777" w:rsidR="00BE21C9" w:rsidRDefault="00000000">
      <w:pPr>
        <w:jc w:val="both"/>
      </w:pPr>
      <w:r>
        <w:t>Metadata Preservation:</w:t>
      </w:r>
    </w:p>
    <w:p w14:paraId="00165FB0" w14:textId="77777777" w:rsidR="00BE21C9" w:rsidRDefault="00000000">
      <w:pPr>
        <w:jc w:val="both"/>
      </w:pPr>
      <w:r>
        <w:t>Each chunk retains metadata linking it to its source document, section, and position. This enables section-aware filtering (e.g., "search only Risk Factors") and citation generation (precise location in source document)</w:t>
      </w:r>
    </w:p>
    <w:p w14:paraId="7561A579" w14:textId="77777777" w:rsidR="00BE21C9" w:rsidRDefault="00000000">
      <w:pPr>
        <w:jc w:val="both"/>
      </w:pPr>
      <w:r>
        <w:t xml:space="preserve"> </w:t>
      </w:r>
    </w:p>
    <w:p w14:paraId="3E15F830" w14:textId="77777777" w:rsidR="00BE21C9" w:rsidRDefault="00000000">
      <w:pPr>
        <w:jc w:val="both"/>
        <w:rPr>
          <w:b/>
          <w:bCs/>
        </w:rPr>
      </w:pPr>
      <w:r>
        <w:rPr>
          <w:b/>
          <w:bCs/>
        </w:rPr>
        <w:t>3.3.2 FINDER Triplets</w:t>
      </w:r>
    </w:p>
    <w:p w14:paraId="6BDF19D5" w14:textId="77777777" w:rsidR="00BE21C9" w:rsidRDefault="00000000">
      <w:pPr>
        <w:jc w:val="both"/>
      </w:pPr>
      <w:r>
        <w:t>Each query is paired with:</w:t>
      </w:r>
    </w:p>
    <w:p w14:paraId="68EEFCC2" w14:textId="77777777" w:rsidR="00BE21C9" w:rsidRDefault="00000000">
      <w:pPr>
        <w:jc w:val="both"/>
      </w:pPr>
      <w:r>
        <w:t>• A positive (gold) document: the relevant passage that answers the query and is in relation with reference paragraph provided in the dataset.</w:t>
      </w:r>
    </w:p>
    <w:p w14:paraId="33638C66" w14:textId="77777777" w:rsidR="00BE21C9" w:rsidRDefault="00000000">
      <w:pPr>
        <w:jc w:val="both"/>
      </w:pPr>
      <w:r>
        <w:t xml:space="preserve">• Multiple negatives: plausible but incorrect passages </w:t>
      </w:r>
      <w:proofErr w:type="gramStart"/>
      <w:r>
        <w:t>The</w:t>
      </w:r>
      <w:proofErr w:type="gramEnd"/>
      <w:r>
        <w:t xml:space="preserve"> negatives are carefully constructed to be textually similar but factually incorrect for the query, making the task</w:t>
      </w:r>
    </w:p>
    <w:p w14:paraId="0D0DEA71" w14:textId="77777777" w:rsidR="00BE21C9" w:rsidRDefault="00000000">
      <w:pPr>
        <w:jc w:val="both"/>
      </w:pPr>
      <w:r>
        <w:t>challenging and realistic.</w:t>
      </w:r>
    </w:p>
    <w:p w14:paraId="69E7AC2B" w14:textId="77777777" w:rsidR="00BE21C9" w:rsidRDefault="00000000">
      <w:pPr>
        <w:jc w:val="both"/>
        <w:rPr>
          <w:b/>
          <w:bCs/>
          <w:sz w:val="24"/>
          <w:szCs w:val="24"/>
        </w:rPr>
      </w:pPr>
      <w:r>
        <w:rPr>
          <w:b/>
          <w:bCs/>
          <w:sz w:val="24"/>
          <w:szCs w:val="24"/>
        </w:rPr>
        <w:t xml:space="preserve"> </w:t>
      </w:r>
    </w:p>
    <w:p w14:paraId="77C4D385" w14:textId="77777777" w:rsidR="00BE21C9" w:rsidRDefault="00BE21C9">
      <w:pPr>
        <w:jc w:val="both"/>
        <w:rPr>
          <w:b/>
          <w:bCs/>
          <w:sz w:val="24"/>
          <w:szCs w:val="24"/>
        </w:rPr>
      </w:pPr>
    </w:p>
    <w:p w14:paraId="54F396B7" w14:textId="77777777" w:rsidR="00BE21C9" w:rsidRDefault="00BE21C9">
      <w:pPr>
        <w:jc w:val="both"/>
        <w:rPr>
          <w:b/>
          <w:bCs/>
          <w:sz w:val="24"/>
          <w:szCs w:val="24"/>
        </w:rPr>
      </w:pPr>
    </w:p>
    <w:p w14:paraId="1FE9DEFF" w14:textId="77777777" w:rsidR="00BE21C9" w:rsidRDefault="00BE21C9">
      <w:pPr>
        <w:jc w:val="both"/>
        <w:rPr>
          <w:b/>
          <w:bCs/>
          <w:sz w:val="24"/>
          <w:szCs w:val="24"/>
        </w:rPr>
      </w:pPr>
    </w:p>
    <w:p w14:paraId="6A1CA16B" w14:textId="77777777" w:rsidR="00BE21C9" w:rsidRDefault="00BE21C9">
      <w:pPr>
        <w:jc w:val="both"/>
        <w:rPr>
          <w:b/>
          <w:bCs/>
          <w:sz w:val="24"/>
          <w:szCs w:val="24"/>
        </w:rPr>
      </w:pPr>
    </w:p>
    <w:p w14:paraId="67697C55" w14:textId="77777777" w:rsidR="00BE21C9" w:rsidRDefault="00BE21C9">
      <w:pPr>
        <w:jc w:val="both"/>
        <w:rPr>
          <w:b/>
          <w:bCs/>
          <w:sz w:val="24"/>
          <w:szCs w:val="24"/>
        </w:rPr>
      </w:pPr>
    </w:p>
    <w:p w14:paraId="54D3A963" w14:textId="77777777" w:rsidR="00BE21C9" w:rsidRDefault="00000000">
      <w:pPr>
        <w:jc w:val="both"/>
        <w:rPr>
          <w:b/>
          <w:bCs/>
          <w:sz w:val="24"/>
          <w:szCs w:val="24"/>
        </w:rPr>
      </w:pPr>
      <w:r>
        <w:rPr>
          <w:b/>
          <w:bCs/>
          <w:sz w:val="24"/>
          <w:szCs w:val="24"/>
        </w:rPr>
        <w:t>3.4 Methodology</w:t>
      </w:r>
    </w:p>
    <w:p w14:paraId="57161301" w14:textId="77777777" w:rsidR="00BE21C9" w:rsidRDefault="00000000">
      <w:pPr>
        <w:jc w:val="both"/>
      </w:pPr>
      <w:r>
        <w:t>Three retrieval paradigms are implemented and evaluated using SEC data chunks and FINDER triplets</w:t>
      </w:r>
    </w:p>
    <w:p w14:paraId="04E3F79E" w14:textId="77777777" w:rsidR="00BE21C9" w:rsidRDefault="00000000">
      <w:pPr>
        <w:jc w:val="both"/>
        <w:rPr>
          <w:b/>
          <w:bCs/>
        </w:rPr>
      </w:pPr>
      <w:r>
        <w:rPr>
          <w:b/>
          <w:bCs/>
        </w:rPr>
        <w:t>3.4.1 BM25 Lexical Retrieval</w:t>
      </w:r>
    </w:p>
    <w:p w14:paraId="389F0B3E" w14:textId="77777777" w:rsidR="00BE21C9" w:rsidRDefault="00000000">
      <w:pPr>
        <w:jc w:val="both"/>
      </w:pPr>
      <w:r>
        <w:t>BM25 serves as the lexical baseline, using the rank-bm25. Simple word-based tokenization with lowercasing, as BM25 performs best with straightforward tokenization that preserves term frequency patterns.</w:t>
      </w:r>
    </w:p>
    <w:p w14:paraId="487F0EC2" w14:textId="77777777" w:rsidR="00BE21C9" w:rsidRDefault="00000000">
      <w:pPr>
        <w:jc w:val="both"/>
        <w:rPr>
          <w:b/>
          <w:bCs/>
        </w:rPr>
      </w:pPr>
      <w:r>
        <w:rPr>
          <w:b/>
          <w:bCs/>
        </w:rPr>
        <w:t xml:space="preserve"> </w:t>
      </w:r>
    </w:p>
    <w:p w14:paraId="4D65FC05" w14:textId="77777777" w:rsidR="00BE21C9" w:rsidRDefault="00000000">
      <w:pPr>
        <w:jc w:val="both"/>
        <w:rPr>
          <w:b/>
          <w:bCs/>
        </w:rPr>
      </w:pPr>
      <w:r>
        <w:rPr>
          <w:b/>
          <w:bCs/>
        </w:rPr>
        <w:t>3.4.2 Dense Retrieval with Fine-Tuned Sentence Transformers</w:t>
      </w:r>
    </w:p>
    <w:p w14:paraId="5C8239F6" w14:textId="77777777" w:rsidR="00BE21C9" w:rsidRDefault="00000000">
      <w:pPr>
        <w:jc w:val="both"/>
      </w:pPr>
      <w:r>
        <w:t xml:space="preserve">Dense retrieval encodes queries and documents into fixed-dimensional vectors using neural encoders. Sentence-BERT (specifically all-mpnet-base-v2) is used as base model which is further </w:t>
      </w:r>
      <w:proofErr w:type="spellStart"/>
      <w:r>
        <w:t>fine tuned</w:t>
      </w:r>
      <w:proofErr w:type="spellEnd"/>
      <w:r>
        <w:t xml:space="preserve"> on the </w:t>
      </w:r>
      <w:proofErr w:type="spellStart"/>
      <w:r>
        <w:t>FinDER</w:t>
      </w:r>
      <w:proofErr w:type="spellEnd"/>
      <w:r>
        <w:t xml:space="preserve"> dataset.</w:t>
      </w:r>
    </w:p>
    <w:p w14:paraId="0AF66CA9" w14:textId="77777777" w:rsidR="00BE21C9" w:rsidRDefault="00000000">
      <w:pPr>
        <w:jc w:val="both"/>
      </w:pPr>
      <w:r>
        <w:t>Base Model: all-mpnet-base-v2</w:t>
      </w:r>
    </w:p>
    <w:p w14:paraId="2AB33E27" w14:textId="77777777" w:rsidR="00BE21C9" w:rsidRDefault="00000000">
      <w:pPr>
        <w:jc w:val="both"/>
      </w:pPr>
      <w:r>
        <w:t>• 768-dimensional embeddings</w:t>
      </w:r>
    </w:p>
    <w:p w14:paraId="39641ED5" w14:textId="77777777" w:rsidR="00BE21C9" w:rsidRDefault="00000000">
      <w:pPr>
        <w:jc w:val="both"/>
      </w:pPr>
      <w:r>
        <w:t>• Pre-trained on 1B+ sentence pairs</w:t>
      </w:r>
    </w:p>
    <w:p w14:paraId="50FFA1DA" w14:textId="77777777" w:rsidR="00BE21C9" w:rsidRDefault="00000000">
      <w:pPr>
        <w:jc w:val="both"/>
      </w:pPr>
      <w:r>
        <w:t>• State-of-the-art performance on semantic similarity tasks</w:t>
      </w:r>
    </w:p>
    <w:p w14:paraId="79F1052E" w14:textId="77777777" w:rsidR="00BE21C9" w:rsidRDefault="00000000">
      <w:pPr>
        <w:jc w:val="both"/>
      </w:pPr>
      <w:r>
        <w:t>• 256 max sequence length (configured for our 300-token chunks)</w:t>
      </w:r>
    </w:p>
    <w:p w14:paraId="2E609F83" w14:textId="77777777" w:rsidR="00BE21C9" w:rsidRDefault="00000000">
      <w:pPr>
        <w:jc w:val="both"/>
      </w:pPr>
      <w:r>
        <w:t xml:space="preserve"> </w:t>
      </w:r>
    </w:p>
    <w:p w14:paraId="4BD42A59" w14:textId="77777777" w:rsidR="00BE21C9" w:rsidRDefault="00000000">
      <w:pPr>
        <w:jc w:val="both"/>
        <w:rPr>
          <w:b/>
          <w:bCs/>
        </w:rPr>
      </w:pPr>
      <w:r>
        <w:rPr>
          <w:b/>
          <w:bCs/>
        </w:rPr>
        <w:t>Fine-Tuning Strategy:</w:t>
      </w:r>
    </w:p>
    <w:p w14:paraId="2569764B" w14:textId="77777777" w:rsidR="00BE21C9" w:rsidRDefault="00000000">
      <w:pPr>
        <w:jc w:val="both"/>
      </w:pPr>
      <w:r>
        <w:t xml:space="preserve">• Convert </w:t>
      </w:r>
      <w:proofErr w:type="spellStart"/>
      <w:r>
        <w:t>FinDER</w:t>
      </w:r>
      <w:proofErr w:type="spellEnd"/>
      <w:r>
        <w:t xml:space="preserve"> triplets (query, positive, negatives) into training examples.</w:t>
      </w:r>
    </w:p>
    <w:p w14:paraId="59EBEC8B" w14:textId="77777777" w:rsidR="00BE21C9" w:rsidRDefault="00000000">
      <w:pPr>
        <w:jc w:val="both"/>
      </w:pPr>
      <w:r>
        <w:t xml:space="preserve">• </w:t>
      </w:r>
      <w:proofErr w:type="spellStart"/>
      <w:r>
        <w:t>GroupShuffleSplit</w:t>
      </w:r>
      <w:proofErr w:type="spellEnd"/>
      <w:r>
        <w:t xml:space="preserve"> is used to ensure queries appear in only one split (no query leakage). This prevents the model from memorizing specific queries and ensures evaluation reflects generalization ability.</w:t>
      </w:r>
    </w:p>
    <w:p w14:paraId="4ADE6D68" w14:textId="77777777" w:rsidR="00BE21C9" w:rsidRDefault="00000000">
      <w:pPr>
        <w:jc w:val="both"/>
      </w:pPr>
      <w:r>
        <w:t>• Multiple Negatives Ranking Loss which treats other positives in a batch as negatives</w:t>
      </w:r>
    </w:p>
    <w:p w14:paraId="5218119C" w14:textId="77777777" w:rsidR="00BE21C9" w:rsidRDefault="00000000">
      <w:pPr>
        <w:jc w:val="both"/>
        <w:rPr>
          <w:b/>
          <w:bCs/>
        </w:rPr>
      </w:pPr>
      <w:r>
        <w:rPr>
          <w:b/>
          <w:bCs/>
        </w:rPr>
        <w:t>Training Configuration:</w:t>
      </w:r>
    </w:p>
    <w:p w14:paraId="00687DEB" w14:textId="77777777" w:rsidR="00BE21C9" w:rsidRDefault="00000000">
      <w:pPr>
        <w:ind w:left="720"/>
        <w:jc w:val="both"/>
      </w:pPr>
      <w:r>
        <w:t>• Batch size: 16</w:t>
      </w:r>
    </w:p>
    <w:p w14:paraId="43B35798" w14:textId="77777777" w:rsidR="00BE21C9" w:rsidRDefault="00000000">
      <w:pPr>
        <w:ind w:left="720"/>
        <w:jc w:val="both"/>
      </w:pPr>
      <w:r>
        <w:t>• Epochs: 5 (with early stopping based on validation MRR)</w:t>
      </w:r>
    </w:p>
    <w:p w14:paraId="5234370A" w14:textId="77777777" w:rsidR="00BE21C9" w:rsidRDefault="00000000">
      <w:pPr>
        <w:ind w:left="720"/>
        <w:jc w:val="both"/>
      </w:pPr>
      <w:r>
        <w:t>• Learning rate: 2e-5</w:t>
      </w:r>
    </w:p>
    <w:p w14:paraId="3830542C" w14:textId="77777777" w:rsidR="00BE21C9" w:rsidRDefault="00000000">
      <w:pPr>
        <w:ind w:left="720"/>
        <w:jc w:val="both"/>
      </w:pPr>
      <w:r>
        <w:t>•Warmup steps: 100</w:t>
      </w:r>
    </w:p>
    <w:p w14:paraId="3119F826" w14:textId="77777777" w:rsidR="00BE21C9" w:rsidRDefault="00000000">
      <w:pPr>
        <w:ind w:left="720"/>
        <w:jc w:val="both"/>
      </w:pPr>
      <w:r>
        <w:t>• Mixed precision training (FP16)</w:t>
      </w:r>
    </w:p>
    <w:p w14:paraId="4C518D51" w14:textId="77777777" w:rsidR="00BE21C9" w:rsidRDefault="00000000">
      <w:pPr>
        <w:ind w:left="720"/>
        <w:jc w:val="both"/>
      </w:pPr>
      <w:r>
        <w:t xml:space="preserve">• </w:t>
      </w:r>
      <w:proofErr w:type="spellStart"/>
      <w:r>
        <w:t>AdamW</w:t>
      </w:r>
      <w:proofErr w:type="spellEnd"/>
      <w:r>
        <w:t xml:space="preserve"> optimizer</w:t>
      </w:r>
    </w:p>
    <w:p w14:paraId="6FA72926" w14:textId="77777777" w:rsidR="00BE21C9" w:rsidRDefault="00000000">
      <w:pPr>
        <w:jc w:val="both"/>
      </w:pPr>
      <w:r>
        <w:rPr>
          <w:b/>
          <w:bCs/>
        </w:rPr>
        <w:t xml:space="preserve">Validation and Model </w:t>
      </w:r>
      <w:proofErr w:type="spellStart"/>
      <w:proofErr w:type="gramStart"/>
      <w:r>
        <w:rPr>
          <w:b/>
          <w:bCs/>
        </w:rPr>
        <w:t>Selection:</w:t>
      </w:r>
      <w:r>
        <w:t>After</w:t>
      </w:r>
      <w:proofErr w:type="spellEnd"/>
      <w:proofErr w:type="gramEnd"/>
      <w:r>
        <w:t xml:space="preserve"> each epoch, we evaluate on the validation set using MRR as the primary metric. We save checkpoints only when validation MRR </w:t>
      </w:r>
      <w:proofErr w:type="gramStart"/>
      <w:r>
        <w:t>improves:.</w:t>
      </w:r>
      <w:proofErr w:type="gramEnd"/>
      <w:r>
        <w:t xml:space="preserve"> This prevents overfitting and ensures we deploy the best-performing model. Inference: At retrieval time, we encode the query once, compute cosine similarity against all document embeddings, and return top-k:</w:t>
      </w:r>
    </w:p>
    <w:p w14:paraId="7AE29701" w14:textId="77777777" w:rsidR="00BE21C9" w:rsidRDefault="00000000">
      <w:pPr>
        <w:jc w:val="both"/>
      </w:pPr>
      <w:r>
        <w:t xml:space="preserve"> </w:t>
      </w:r>
    </w:p>
    <w:p w14:paraId="61C7F979" w14:textId="77777777" w:rsidR="00BE21C9" w:rsidRDefault="00000000">
      <w:pPr>
        <w:jc w:val="both"/>
        <w:rPr>
          <w:b/>
          <w:bCs/>
        </w:rPr>
      </w:pPr>
      <w:r>
        <w:rPr>
          <w:b/>
          <w:bCs/>
        </w:rPr>
        <w:t>3.4.3 Hybrid Retrieval with Reranking</w:t>
      </w:r>
    </w:p>
    <w:p w14:paraId="4FBA7764" w14:textId="77777777" w:rsidR="00BE21C9" w:rsidRDefault="00000000">
      <w:pPr>
        <w:jc w:val="both"/>
        <w:rPr>
          <w:b/>
          <w:bCs/>
        </w:rPr>
      </w:pPr>
      <w:r>
        <w:t xml:space="preserve">Our hybrid approach combines lexical and dense retrieval using reciprocal rank fusion for candidate generation with cross-encoder reranking for final ranking: BERT-based cross encoder was </w:t>
      </w:r>
      <w:proofErr w:type="spellStart"/>
      <w:r>
        <w:t>fine tuned</w:t>
      </w:r>
      <w:proofErr w:type="spellEnd"/>
      <w:r>
        <w:t xml:space="preserve"> on finder dataset for 2-3 epochs specifically for relevance scoring. The cross-</w:t>
      </w:r>
      <w:r>
        <w:lastRenderedPageBreak/>
        <w:t>encoder processes query-document pairs jointly through full cross-attention, enabling sophisticated relevance modeling.</w:t>
      </w:r>
    </w:p>
    <w:p w14:paraId="3F830867" w14:textId="77777777" w:rsidR="00BE21C9" w:rsidRDefault="00000000">
      <w:pPr>
        <w:pStyle w:val="Heading2"/>
        <w:keepNext w:val="0"/>
        <w:keepLines w:val="0"/>
        <w:spacing w:before="240" w:after="80"/>
        <w:jc w:val="both"/>
        <w:rPr>
          <w:b/>
          <w:bCs/>
          <w:sz w:val="22"/>
          <w:szCs w:val="22"/>
        </w:rPr>
      </w:pPr>
      <w:bookmarkStart w:id="0" w:name="_29sjhazhpaia" w:colFirst="0" w:colLast="0"/>
      <w:bookmarkEnd w:id="0"/>
      <w:r>
        <w:rPr>
          <w:b/>
          <w:bCs/>
          <w:sz w:val="22"/>
          <w:szCs w:val="22"/>
        </w:rPr>
        <w:t>3.4.4 Optimizing RRF Retrieval Recall</w:t>
      </w:r>
    </w:p>
    <w:p w14:paraId="20E61F6D" w14:textId="77777777" w:rsidR="00BE21C9" w:rsidRDefault="00000000">
      <w:pPr>
        <w:spacing w:after="160"/>
        <w:jc w:val="both"/>
      </w:pPr>
      <w:r>
        <w:t xml:space="preserve">Beyond the base RRF fusion described above, the retrieval implementation was iterated on specifically to raise RRF Retrieval Recall on the fraction of queries for which the gold passage appears anywhere in the fused candidate pool prior to reranking. Four changes were made, evaluated together over the full 3,439-query </w:t>
      </w:r>
      <w:proofErr w:type="spellStart"/>
      <w:r>
        <w:t>FinDER</w:t>
      </w:r>
      <w:proofErr w:type="spellEnd"/>
      <w:r>
        <w:t xml:space="preserve"> set:</w:t>
      </w:r>
    </w:p>
    <w:p w14:paraId="3750616E" w14:textId="77777777" w:rsidR="00BE21C9" w:rsidRDefault="00000000">
      <w:pPr>
        <w:spacing w:after="40"/>
        <w:jc w:val="both"/>
        <w:rPr>
          <w:b/>
          <w:bCs/>
        </w:rPr>
      </w:pPr>
      <w:r>
        <w:rPr>
          <w:b/>
          <w:bCs/>
        </w:rPr>
        <w:t xml:space="preserve"> Deepening the per-retriever candidate pool.</w:t>
      </w:r>
    </w:p>
    <w:p w14:paraId="21B681B8" w14:textId="77777777" w:rsidR="00BE21C9" w:rsidRDefault="00000000">
      <w:pPr>
        <w:spacing w:after="160"/>
        <w:jc w:val="both"/>
      </w:pPr>
      <w:r>
        <w:t>RRF Retrieval Recall is bounded by how many candidates each individual retriever contributes before fusion. The dense and lexical candidate depths (</w:t>
      </w:r>
      <w:proofErr w:type="spellStart"/>
      <w:r>
        <w:t>dense_k</w:t>
      </w:r>
      <w:proofErr w:type="spellEnd"/>
      <w:r>
        <w:t xml:space="preserve">, bm25_k) were increased from 200 to 500 per retriever. Because a document is recalled by RRF if either retriever surfaces it within its own top-k, widening each retriever’s search radius directly raises the probability that the gold passage appears somewhere in the fused pool, even for queries where a single retriever alone would have ranked it outside its original </w:t>
      </w:r>
      <w:proofErr w:type="gramStart"/>
      <w:r>
        <w:t>top-200</w:t>
      </w:r>
      <w:proofErr w:type="gramEnd"/>
      <w:r>
        <w:t>.</w:t>
      </w:r>
    </w:p>
    <w:p w14:paraId="719B31A1" w14:textId="77777777" w:rsidR="00BE21C9" w:rsidRDefault="00000000">
      <w:pPr>
        <w:spacing w:after="40"/>
        <w:jc w:val="both"/>
        <w:rPr>
          <w:b/>
          <w:bCs/>
        </w:rPr>
      </w:pPr>
      <w:r>
        <w:rPr>
          <w:b/>
          <w:bCs/>
        </w:rPr>
        <w:t>Replacing brute-force dense search with FAISS.</w:t>
      </w:r>
    </w:p>
    <w:p w14:paraId="69CBD9C2" w14:textId="77777777" w:rsidR="00BE21C9" w:rsidRDefault="00000000">
      <w:pPr>
        <w:spacing w:after="160"/>
        <w:jc w:val="both"/>
      </w:pPr>
      <w:r>
        <w:t xml:space="preserve">The initial implementation computed dense similarity via a full pairwise cosine similarity against the entire ~63,500-chunk corpus embedding matrix, recomputed for every query. This scaled poorly once </w:t>
      </w:r>
      <w:proofErr w:type="spellStart"/>
      <w:r>
        <w:t>dense_k</w:t>
      </w:r>
      <w:proofErr w:type="spellEnd"/>
      <w:r>
        <w:t xml:space="preserve"> was raised to 500. Dense retrieval was rebuilt on a FAISS </w:t>
      </w:r>
      <w:proofErr w:type="spellStart"/>
      <w:r>
        <w:t>IndexFlatIP</w:t>
      </w:r>
      <w:proofErr w:type="spellEnd"/>
      <w:r>
        <w:t xml:space="preserve"> index over L2-normalized embeddings (mathematically equivalent to exact cosine similarity search), making the deeper candidate depth computationally tractable across all evaluation queries.</w:t>
      </w:r>
    </w:p>
    <w:p w14:paraId="4C6DD373" w14:textId="77777777" w:rsidR="00BE21C9" w:rsidRDefault="00000000">
      <w:pPr>
        <w:spacing w:after="40"/>
        <w:jc w:val="both"/>
        <w:rPr>
          <w:b/>
          <w:bCs/>
        </w:rPr>
      </w:pPr>
      <w:r>
        <w:rPr>
          <w:b/>
          <w:bCs/>
        </w:rPr>
        <w:t>Batch query encoding.</w:t>
      </w:r>
    </w:p>
    <w:p w14:paraId="2C55B2CD" w14:textId="77777777" w:rsidR="00BE21C9" w:rsidRDefault="00000000">
      <w:pPr>
        <w:spacing w:after="160"/>
        <w:jc w:val="both"/>
      </w:pPr>
      <w:r>
        <w:t>All evaluation queries were encoded once upfront in batches of 128, rather than individually inside the per-query evaluation loop, removing redundant encoder forward passes and supporting evaluation at the larger candidate depth without a proportional runtime increase.</w:t>
      </w:r>
    </w:p>
    <w:p w14:paraId="6EB93C02" w14:textId="77777777" w:rsidR="00BE21C9" w:rsidRDefault="00000000">
      <w:pPr>
        <w:spacing w:after="40"/>
        <w:jc w:val="both"/>
        <w:rPr>
          <w:b/>
          <w:bCs/>
        </w:rPr>
      </w:pPr>
      <w:r>
        <w:rPr>
          <w:b/>
          <w:bCs/>
        </w:rPr>
        <w:t>Decoupling recall computation from reranking depth.</w:t>
      </w:r>
    </w:p>
    <w:p w14:paraId="53401B40" w14:textId="77777777" w:rsidR="00BE21C9" w:rsidRDefault="00000000">
      <w:pPr>
        <w:spacing w:after="160"/>
        <w:jc w:val="both"/>
      </w:pPr>
      <w:r>
        <w:t xml:space="preserve">Cross-encoder reranking is computationally expensive due to full cross-attention over each query-candidate pair, so the number of candidates passed to the </w:t>
      </w:r>
      <w:proofErr w:type="spellStart"/>
      <w:r>
        <w:t>reranker</w:t>
      </w:r>
      <w:proofErr w:type="spellEnd"/>
      <w:r>
        <w:t xml:space="preserve"> was capped at </w:t>
      </w:r>
      <w:proofErr w:type="spellStart"/>
      <w:r>
        <w:t>rerank_top</w:t>
      </w:r>
      <w:proofErr w:type="spellEnd"/>
      <w:r>
        <w:t xml:space="preserve"> = 50, while RRF Retrieval Recall itself continued to be computed against the full fused pool (up to </w:t>
      </w:r>
      <w:proofErr w:type="gramStart"/>
      <w:r>
        <w:t>max(</w:t>
      </w:r>
      <w:proofErr w:type="spellStart"/>
      <w:proofErr w:type="gramEnd"/>
      <w:r>
        <w:t>dense_k</w:t>
      </w:r>
      <w:proofErr w:type="spellEnd"/>
      <w:r>
        <w:t xml:space="preserve">, bm25_k) = 500). This isolates the retrieval stage’s recall ceiling from the </w:t>
      </w:r>
      <w:proofErr w:type="spellStart"/>
      <w:r>
        <w:t>reranker’s</w:t>
      </w:r>
      <w:proofErr w:type="spellEnd"/>
      <w:r>
        <w:t xml:space="preserve"> practical operating budget.</w:t>
      </w:r>
    </w:p>
    <w:p w14:paraId="5D62501F" w14:textId="77777777" w:rsidR="00BE21C9" w:rsidRDefault="00BE21C9">
      <w:pPr>
        <w:jc w:val="both"/>
        <w:rPr>
          <w:b/>
          <w:bCs/>
          <w:sz w:val="24"/>
          <w:szCs w:val="24"/>
        </w:rPr>
      </w:pPr>
    </w:p>
    <w:p w14:paraId="1FA8A85B" w14:textId="77777777" w:rsidR="00BE21C9" w:rsidRDefault="00BE21C9">
      <w:pPr>
        <w:jc w:val="both"/>
        <w:rPr>
          <w:b/>
          <w:bCs/>
          <w:sz w:val="24"/>
          <w:szCs w:val="24"/>
        </w:rPr>
      </w:pPr>
    </w:p>
    <w:p w14:paraId="244F5E89" w14:textId="77777777" w:rsidR="00BE21C9" w:rsidRDefault="00BE21C9">
      <w:pPr>
        <w:jc w:val="both"/>
        <w:rPr>
          <w:b/>
          <w:bCs/>
          <w:sz w:val="24"/>
          <w:szCs w:val="24"/>
        </w:rPr>
      </w:pPr>
    </w:p>
    <w:p w14:paraId="13EA7F72" w14:textId="77777777" w:rsidR="00BE21C9" w:rsidRDefault="00BE21C9">
      <w:pPr>
        <w:jc w:val="both"/>
        <w:rPr>
          <w:b/>
          <w:bCs/>
          <w:sz w:val="24"/>
          <w:szCs w:val="24"/>
        </w:rPr>
      </w:pPr>
    </w:p>
    <w:p w14:paraId="2627EB71" w14:textId="77777777" w:rsidR="00BE21C9" w:rsidRDefault="00BE21C9">
      <w:pPr>
        <w:jc w:val="both"/>
        <w:rPr>
          <w:b/>
          <w:bCs/>
          <w:sz w:val="24"/>
          <w:szCs w:val="24"/>
        </w:rPr>
      </w:pPr>
    </w:p>
    <w:p w14:paraId="64801C46" w14:textId="77777777" w:rsidR="00BE21C9" w:rsidRDefault="00BE21C9">
      <w:pPr>
        <w:jc w:val="both"/>
        <w:rPr>
          <w:b/>
          <w:bCs/>
          <w:sz w:val="24"/>
          <w:szCs w:val="24"/>
        </w:rPr>
      </w:pPr>
    </w:p>
    <w:p w14:paraId="21C99B8C" w14:textId="77777777" w:rsidR="00BE21C9" w:rsidRDefault="00BE21C9">
      <w:pPr>
        <w:jc w:val="both"/>
        <w:rPr>
          <w:b/>
          <w:bCs/>
          <w:sz w:val="24"/>
          <w:szCs w:val="24"/>
        </w:rPr>
      </w:pPr>
    </w:p>
    <w:p w14:paraId="4E6115D6" w14:textId="77777777" w:rsidR="00BE21C9" w:rsidRDefault="00BE21C9">
      <w:pPr>
        <w:jc w:val="both"/>
        <w:rPr>
          <w:b/>
          <w:bCs/>
          <w:sz w:val="24"/>
          <w:szCs w:val="24"/>
        </w:rPr>
      </w:pPr>
    </w:p>
    <w:p w14:paraId="7D8F939F" w14:textId="77777777" w:rsidR="00BE21C9" w:rsidRDefault="00BE21C9">
      <w:pPr>
        <w:jc w:val="both"/>
        <w:rPr>
          <w:b/>
          <w:bCs/>
          <w:sz w:val="24"/>
          <w:szCs w:val="24"/>
        </w:rPr>
      </w:pPr>
    </w:p>
    <w:p w14:paraId="081F35A6" w14:textId="77777777" w:rsidR="00BE21C9" w:rsidRDefault="00000000">
      <w:pPr>
        <w:jc w:val="both"/>
        <w:rPr>
          <w:b/>
          <w:bCs/>
        </w:rPr>
      </w:pPr>
      <w:r>
        <w:rPr>
          <w:b/>
          <w:bCs/>
          <w:sz w:val="24"/>
          <w:szCs w:val="24"/>
        </w:rPr>
        <w:lastRenderedPageBreak/>
        <w:t>3.5 Evaluation</w:t>
      </w:r>
    </w:p>
    <w:p w14:paraId="3059D096" w14:textId="77777777" w:rsidR="00BE21C9" w:rsidRDefault="00BE21C9">
      <w:pPr>
        <w:jc w:val="both"/>
        <w:rPr>
          <w:b/>
          <w:bCs/>
        </w:rPr>
      </w:pPr>
    </w:p>
    <w:p w14:paraId="00A3D593" w14:textId="77777777" w:rsidR="00BE21C9" w:rsidRDefault="00000000">
      <w:pPr>
        <w:jc w:val="both"/>
        <w:rPr>
          <w:b/>
          <w:bCs/>
          <w:color w:val="000000"/>
        </w:rPr>
      </w:pPr>
      <w:r>
        <w:rPr>
          <w:b/>
          <w:bCs/>
          <w:color w:val="000000"/>
        </w:rPr>
        <w:t>Results</w:t>
      </w:r>
    </w:p>
    <w:p w14:paraId="28451C08" w14:textId="77777777" w:rsidR="00BE21C9" w:rsidRDefault="00000000">
      <w:pPr>
        <w:spacing w:after="120"/>
        <w:jc w:val="both"/>
      </w:pPr>
      <w:r>
        <w:t>Widening the candidate pool from 200 to 500 per retriever raised RRF Retrieval Recall from 0.630 to 0.747 (+18.6% relative), meaning the gold passage now appears somewhere in the fused candidate set for nearly three in four queries, up from roughly three in five. This lift propagated downstream: MRR improved from 0.206 to 0.224, and Recall@5 / Recall@10 / nDCG@20 improved by 14.2%, 11.6%, and 8.5% respectively.</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440"/>
        <w:gridCol w:w="2040"/>
        <w:gridCol w:w="2025"/>
        <w:gridCol w:w="1635"/>
      </w:tblGrid>
      <w:tr w:rsidR="00BE21C9" w14:paraId="37130C92" w14:textId="77777777">
        <w:trPr>
          <w:trHeight w:val="780"/>
        </w:trPr>
        <w:tc>
          <w:tcPr>
            <w:tcW w:w="220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E511826" w14:textId="77777777" w:rsidR="00BE21C9" w:rsidRDefault="00000000">
            <w:pPr>
              <w:jc w:val="center"/>
              <w:rPr>
                <w:b/>
                <w:bCs/>
              </w:rPr>
            </w:pPr>
            <w:r>
              <w:rPr>
                <w:b/>
                <w:bCs/>
              </w:rPr>
              <w:t>Metric</w:t>
            </w:r>
          </w:p>
        </w:tc>
        <w:tc>
          <w:tcPr>
            <w:tcW w:w="1440" w:type="dxa"/>
            <w:tcBorders>
              <w:top w:val="single" w:sz="6" w:space="0" w:color="000000"/>
              <w:left w:val="nil"/>
              <w:bottom w:val="single" w:sz="6" w:space="0" w:color="000000"/>
              <w:right w:val="single" w:sz="6" w:space="0" w:color="000000"/>
            </w:tcBorders>
            <w:shd w:val="clear" w:color="auto" w:fill="D9D9D9"/>
            <w:tcMar>
              <w:top w:w="0" w:type="dxa"/>
              <w:left w:w="20" w:type="dxa"/>
              <w:bottom w:w="0" w:type="dxa"/>
              <w:right w:w="20" w:type="dxa"/>
            </w:tcMar>
          </w:tcPr>
          <w:p w14:paraId="08186CD2" w14:textId="77777777" w:rsidR="00BE21C9" w:rsidRDefault="00000000">
            <w:pPr>
              <w:jc w:val="center"/>
              <w:rPr>
                <w:b/>
                <w:bCs/>
              </w:rPr>
            </w:pPr>
            <w:r>
              <w:rPr>
                <w:b/>
                <w:bCs/>
              </w:rPr>
              <w:t>Baseline (k=200, brute-force)</w:t>
            </w:r>
          </w:p>
        </w:tc>
        <w:tc>
          <w:tcPr>
            <w:tcW w:w="2040" w:type="dxa"/>
            <w:tcBorders>
              <w:top w:val="single" w:sz="6" w:space="0" w:color="000000"/>
              <w:left w:val="nil"/>
              <w:bottom w:val="single" w:sz="6" w:space="0" w:color="000000"/>
              <w:right w:val="single" w:sz="6" w:space="0" w:color="000000"/>
            </w:tcBorders>
            <w:shd w:val="clear" w:color="auto" w:fill="D9D9D9"/>
            <w:tcMar>
              <w:top w:w="0" w:type="dxa"/>
              <w:left w:w="20" w:type="dxa"/>
              <w:bottom w:w="0" w:type="dxa"/>
              <w:right w:w="20" w:type="dxa"/>
            </w:tcMar>
          </w:tcPr>
          <w:p w14:paraId="2C136B83" w14:textId="77777777" w:rsidR="00BE21C9" w:rsidRDefault="00000000">
            <w:pPr>
              <w:jc w:val="center"/>
              <w:rPr>
                <w:b/>
                <w:bCs/>
              </w:rPr>
            </w:pPr>
            <w:r>
              <w:rPr>
                <w:b/>
                <w:bCs/>
              </w:rPr>
              <w:t>Optimized (k=500, FAISS)</w:t>
            </w:r>
          </w:p>
        </w:tc>
        <w:tc>
          <w:tcPr>
            <w:tcW w:w="2025" w:type="dxa"/>
            <w:tcBorders>
              <w:top w:val="single" w:sz="6" w:space="0" w:color="000000"/>
              <w:left w:val="nil"/>
              <w:bottom w:val="single" w:sz="6" w:space="0" w:color="000000"/>
              <w:right w:val="single" w:sz="6" w:space="0" w:color="000000"/>
            </w:tcBorders>
            <w:shd w:val="clear" w:color="auto" w:fill="D9D9D9"/>
            <w:tcMar>
              <w:top w:w="0" w:type="dxa"/>
              <w:left w:w="20" w:type="dxa"/>
              <w:bottom w:w="0" w:type="dxa"/>
              <w:right w:w="20" w:type="dxa"/>
            </w:tcMar>
          </w:tcPr>
          <w:p w14:paraId="0010556A" w14:textId="77777777" w:rsidR="00BE21C9" w:rsidRDefault="00000000">
            <w:pPr>
              <w:jc w:val="center"/>
              <w:rPr>
                <w:b/>
                <w:bCs/>
              </w:rPr>
            </w:pPr>
            <w:r>
              <w:rPr>
                <w:b/>
                <w:bCs/>
              </w:rPr>
              <w:t>Absolute Δ</w:t>
            </w:r>
          </w:p>
        </w:tc>
        <w:tc>
          <w:tcPr>
            <w:tcW w:w="1635" w:type="dxa"/>
            <w:tcBorders>
              <w:top w:val="single" w:sz="6" w:space="0" w:color="000000"/>
              <w:left w:val="nil"/>
              <w:bottom w:val="single" w:sz="6" w:space="0" w:color="000000"/>
              <w:right w:val="single" w:sz="6" w:space="0" w:color="000000"/>
            </w:tcBorders>
            <w:shd w:val="clear" w:color="auto" w:fill="D9D9D9"/>
            <w:tcMar>
              <w:top w:w="0" w:type="dxa"/>
              <w:left w:w="20" w:type="dxa"/>
              <w:bottom w:w="0" w:type="dxa"/>
              <w:right w:w="20" w:type="dxa"/>
            </w:tcMar>
          </w:tcPr>
          <w:p w14:paraId="0DA9684D" w14:textId="77777777" w:rsidR="00BE21C9" w:rsidRDefault="00000000">
            <w:pPr>
              <w:jc w:val="center"/>
              <w:rPr>
                <w:b/>
                <w:bCs/>
              </w:rPr>
            </w:pPr>
            <w:r>
              <w:rPr>
                <w:b/>
                <w:bCs/>
              </w:rPr>
              <w:t>Relative Δ</w:t>
            </w:r>
          </w:p>
        </w:tc>
      </w:tr>
      <w:tr w:rsidR="00BE21C9" w14:paraId="32FF8B36" w14:textId="77777777">
        <w:trPr>
          <w:trHeight w:val="270"/>
        </w:trPr>
        <w:tc>
          <w:tcPr>
            <w:tcW w:w="220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0D5FFD1" w14:textId="77777777" w:rsidR="00BE21C9" w:rsidRDefault="00000000">
            <w:pPr>
              <w:jc w:val="center"/>
              <w:rPr>
                <w:b/>
                <w:bCs/>
              </w:rPr>
            </w:pPr>
            <w:r>
              <w:rPr>
                <w:b/>
                <w:bCs/>
              </w:rPr>
              <w:t>RRF Retrieval Recall</w:t>
            </w:r>
          </w:p>
        </w:tc>
        <w:tc>
          <w:tcPr>
            <w:tcW w:w="1440" w:type="dxa"/>
            <w:tcBorders>
              <w:top w:val="nil"/>
              <w:left w:val="nil"/>
              <w:bottom w:val="single" w:sz="6" w:space="0" w:color="000000"/>
              <w:right w:val="single" w:sz="6" w:space="0" w:color="000000"/>
            </w:tcBorders>
            <w:tcMar>
              <w:top w:w="0" w:type="dxa"/>
              <w:left w:w="20" w:type="dxa"/>
              <w:bottom w:w="0" w:type="dxa"/>
              <w:right w:w="20" w:type="dxa"/>
            </w:tcMar>
          </w:tcPr>
          <w:p w14:paraId="5CC3E731" w14:textId="77777777" w:rsidR="00BE21C9" w:rsidRDefault="00000000">
            <w:pPr>
              <w:jc w:val="center"/>
            </w:pPr>
            <w:r>
              <w:t>0.630</w:t>
            </w:r>
          </w:p>
        </w:tc>
        <w:tc>
          <w:tcPr>
            <w:tcW w:w="2040" w:type="dxa"/>
            <w:tcBorders>
              <w:top w:val="nil"/>
              <w:left w:val="nil"/>
              <w:bottom w:val="single" w:sz="6" w:space="0" w:color="000000"/>
              <w:right w:val="single" w:sz="6" w:space="0" w:color="000000"/>
            </w:tcBorders>
            <w:tcMar>
              <w:top w:w="0" w:type="dxa"/>
              <w:left w:w="20" w:type="dxa"/>
              <w:bottom w:w="0" w:type="dxa"/>
              <w:right w:w="20" w:type="dxa"/>
            </w:tcMar>
          </w:tcPr>
          <w:p w14:paraId="62891CCA" w14:textId="77777777" w:rsidR="00BE21C9" w:rsidRDefault="00000000">
            <w:pPr>
              <w:jc w:val="center"/>
              <w:rPr>
                <w:b/>
                <w:bCs/>
              </w:rPr>
            </w:pPr>
            <w:r>
              <w:rPr>
                <w:b/>
                <w:bCs/>
              </w:rPr>
              <w:t>0.747</w:t>
            </w:r>
          </w:p>
        </w:tc>
        <w:tc>
          <w:tcPr>
            <w:tcW w:w="2025" w:type="dxa"/>
            <w:tcBorders>
              <w:top w:val="nil"/>
              <w:left w:val="nil"/>
              <w:bottom w:val="single" w:sz="6" w:space="0" w:color="000000"/>
              <w:right w:val="single" w:sz="6" w:space="0" w:color="000000"/>
            </w:tcBorders>
            <w:tcMar>
              <w:top w:w="0" w:type="dxa"/>
              <w:left w:w="20" w:type="dxa"/>
              <w:bottom w:w="0" w:type="dxa"/>
              <w:right w:w="20" w:type="dxa"/>
            </w:tcMar>
          </w:tcPr>
          <w:p w14:paraId="412250FE" w14:textId="77777777" w:rsidR="00BE21C9" w:rsidRDefault="00000000">
            <w:pPr>
              <w:jc w:val="center"/>
            </w:pPr>
            <w:r>
              <w:t>+0.117</w:t>
            </w: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5C89F16B" w14:textId="77777777" w:rsidR="00BE21C9" w:rsidRDefault="00000000">
            <w:pPr>
              <w:jc w:val="center"/>
              <w:rPr>
                <w:b/>
                <w:bCs/>
              </w:rPr>
            </w:pPr>
            <w:r>
              <w:rPr>
                <w:b/>
                <w:bCs/>
              </w:rPr>
              <w:t>+18.6%</w:t>
            </w:r>
          </w:p>
        </w:tc>
      </w:tr>
      <w:tr w:rsidR="00BE21C9" w14:paraId="241CB399" w14:textId="77777777">
        <w:trPr>
          <w:trHeight w:val="270"/>
        </w:trPr>
        <w:tc>
          <w:tcPr>
            <w:tcW w:w="220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08C5B54" w14:textId="77777777" w:rsidR="00BE21C9" w:rsidRDefault="00000000">
            <w:pPr>
              <w:jc w:val="center"/>
            </w:pPr>
            <w:r>
              <w:t>MRR</w:t>
            </w:r>
          </w:p>
        </w:tc>
        <w:tc>
          <w:tcPr>
            <w:tcW w:w="1440" w:type="dxa"/>
            <w:tcBorders>
              <w:top w:val="nil"/>
              <w:left w:val="nil"/>
              <w:bottom w:val="single" w:sz="6" w:space="0" w:color="000000"/>
              <w:right w:val="single" w:sz="6" w:space="0" w:color="000000"/>
            </w:tcBorders>
            <w:tcMar>
              <w:top w:w="0" w:type="dxa"/>
              <w:left w:w="20" w:type="dxa"/>
              <w:bottom w:w="0" w:type="dxa"/>
              <w:right w:w="20" w:type="dxa"/>
            </w:tcMar>
          </w:tcPr>
          <w:p w14:paraId="73986EA5" w14:textId="77777777" w:rsidR="00BE21C9" w:rsidRDefault="00000000">
            <w:pPr>
              <w:jc w:val="center"/>
            </w:pPr>
            <w:r>
              <w:t>0.206</w:t>
            </w:r>
          </w:p>
        </w:tc>
        <w:tc>
          <w:tcPr>
            <w:tcW w:w="2040" w:type="dxa"/>
            <w:tcBorders>
              <w:top w:val="nil"/>
              <w:left w:val="nil"/>
              <w:bottom w:val="single" w:sz="6" w:space="0" w:color="000000"/>
              <w:right w:val="single" w:sz="6" w:space="0" w:color="000000"/>
            </w:tcBorders>
            <w:tcMar>
              <w:top w:w="0" w:type="dxa"/>
              <w:left w:w="20" w:type="dxa"/>
              <w:bottom w:w="0" w:type="dxa"/>
              <w:right w:w="20" w:type="dxa"/>
            </w:tcMar>
          </w:tcPr>
          <w:p w14:paraId="39D99492" w14:textId="77777777" w:rsidR="00BE21C9" w:rsidRDefault="00000000">
            <w:pPr>
              <w:jc w:val="center"/>
            </w:pPr>
            <w:r>
              <w:t>0.224</w:t>
            </w:r>
          </w:p>
        </w:tc>
        <w:tc>
          <w:tcPr>
            <w:tcW w:w="2025" w:type="dxa"/>
            <w:tcBorders>
              <w:top w:val="nil"/>
              <w:left w:val="nil"/>
              <w:bottom w:val="single" w:sz="6" w:space="0" w:color="000000"/>
              <w:right w:val="single" w:sz="6" w:space="0" w:color="000000"/>
            </w:tcBorders>
            <w:tcMar>
              <w:top w:w="0" w:type="dxa"/>
              <w:left w:w="20" w:type="dxa"/>
              <w:bottom w:w="0" w:type="dxa"/>
              <w:right w:w="20" w:type="dxa"/>
            </w:tcMar>
          </w:tcPr>
          <w:p w14:paraId="6B257CC7" w14:textId="77777777" w:rsidR="00BE21C9" w:rsidRDefault="00000000">
            <w:pPr>
              <w:jc w:val="center"/>
            </w:pPr>
            <w:r>
              <w:t>+0.018</w:t>
            </w: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1830D309" w14:textId="77777777" w:rsidR="00BE21C9" w:rsidRDefault="00000000">
            <w:pPr>
              <w:jc w:val="center"/>
            </w:pPr>
            <w:r>
              <w:t>+8.6%</w:t>
            </w:r>
          </w:p>
        </w:tc>
      </w:tr>
      <w:tr w:rsidR="00BE21C9" w14:paraId="280995CB" w14:textId="77777777">
        <w:trPr>
          <w:trHeight w:val="270"/>
        </w:trPr>
        <w:tc>
          <w:tcPr>
            <w:tcW w:w="220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C22B850" w14:textId="77777777" w:rsidR="00BE21C9" w:rsidRDefault="00000000">
            <w:pPr>
              <w:jc w:val="center"/>
            </w:pPr>
            <w:r>
              <w:t>MRR | retrieved</w:t>
            </w:r>
          </w:p>
        </w:tc>
        <w:tc>
          <w:tcPr>
            <w:tcW w:w="1440" w:type="dxa"/>
            <w:tcBorders>
              <w:top w:val="nil"/>
              <w:left w:val="nil"/>
              <w:bottom w:val="single" w:sz="6" w:space="0" w:color="000000"/>
              <w:right w:val="single" w:sz="6" w:space="0" w:color="000000"/>
            </w:tcBorders>
            <w:tcMar>
              <w:top w:w="0" w:type="dxa"/>
              <w:left w:w="20" w:type="dxa"/>
              <w:bottom w:w="0" w:type="dxa"/>
              <w:right w:w="20" w:type="dxa"/>
            </w:tcMar>
          </w:tcPr>
          <w:p w14:paraId="5B05DD0E" w14:textId="77777777" w:rsidR="00BE21C9" w:rsidRDefault="00000000">
            <w:pPr>
              <w:jc w:val="center"/>
            </w:pPr>
            <w:r>
              <w:t>0.327</w:t>
            </w:r>
          </w:p>
        </w:tc>
        <w:tc>
          <w:tcPr>
            <w:tcW w:w="2040" w:type="dxa"/>
            <w:tcBorders>
              <w:top w:val="nil"/>
              <w:left w:val="nil"/>
              <w:bottom w:val="single" w:sz="6" w:space="0" w:color="000000"/>
              <w:right w:val="single" w:sz="6" w:space="0" w:color="000000"/>
            </w:tcBorders>
            <w:tcMar>
              <w:top w:w="0" w:type="dxa"/>
              <w:left w:w="20" w:type="dxa"/>
              <w:bottom w:w="0" w:type="dxa"/>
              <w:right w:w="20" w:type="dxa"/>
            </w:tcMar>
          </w:tcPr>
          <w:p w14:paraId="0AFE5601" w14:textId="77777777" w:rsidR="00BE21C9" w:rsidRDefault="00000000">
            <w:pPr>
              <w:jc w:val="center"/>
            </w:pPr>
            <w:r>
              <w:t>0.299</w:t>
            </w:r>
          </w:p>
        </w:tc>
        <w:tc>
          <w:tcPr>
            <w:tcW w:w="2025" w:type="dxa"/>
            <w:tcBorders>
              <w:top w:val="nil"/>
              <w:left w:val="nil"/>
              <w:bottom w:val="single" w:sz="6" w:space="0" w:color="000000"/>
              <w:right w:val="single" w:sz="6" w:space="0" w:color="000000"/>
            </w:tcBorders>
            <w:tcMar>
              <w:top w:w="0" w:type="dxa"/>
              <w:left w:w="20" w:type="dxa"/>
              <w:bottom w:w="0" w:type="dxa"/>
              <w:right w:w="20" w:type="dxa"/>
            </w:tcMar>
          </w:tcPr>
          <w:p w14:paraId="5A3617C3" w14:textId="77777777" w:rsidR="00BE21C9" w:rsidRDefault="00000000">
            <w:pPr>
              <w:jc w:val="center"/>
            </w:pPr>
            <w:r>
              <w:rPr>
                <w:rFonts w:ascii="Arial Unicode MS" w:eastAsia="Arial Unicode MS" w:hAnsi="Arial Unicode MS" w:cs="Arial Unicode MS"/>
              </w:rPr>
              <w:t>−0.028</w:t>
            </w: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683A84E8" w14:textId="77777777" w:rsidR="00BE21C9" w:rsidRDefault="00000000">
            <w:pPr>
              <w:jc w:val="center"/>
            </w:pPr>
            <w:r>
              <w:rPr>
                <w:rFonts w:ascii="Arial Unicode MS" w:eastAsia="Arial Unicode MS" w:hAnsi="Arial Unicode MS" w:cs="Arial Unicode MS"/>
              </w:rPr>
              <w:t>−8.5%</w:t>
            </w:r>
          </w:p>
        </w:tc>
      </w:tr>
      <w:tr w:rsidR="00BE21C9" w14:paraId="088F44D8" w14:textId="77777777">
        <w:trPr>
          <w:trHeight w:val="270"/>
        </w:trPr>
        <w:tc>
          <w:tcPr>
            <w:tcW w:w="220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2C45A9A" w14:textId="77777777" w:rsidR="00BE21C9" w:rsidRDefault="00000000">
            <w:pPr>
              <w:jc w:val="center"/>
            </w:pPr>
            <w:r>
              <w:t>Recall@5</w:t>
            </w:r>
          </w:p>
        </w:tc>
        <w:tc>
          <w:tcPr>
            <w:tcW w:w="1440" w:type="dxa"/>
            <w:tcBorders>
              <w:top w:val="nil"/>
              <w:left w:val="nil"/>
              <w:bottom w:val="single" w:sz="6" w:space="0" w:color="000000"/>
              <w:right w:val="single" w:sz="6" w:space="0" w:color="000000"/>
            </w:tcBorders>
            <w:tcMar>
              <w:top w:w="0" w:type="dxa"/>
              <w:left w:w="20" w:type="dxa"/>
              <w:bottom w:w="0" w:type="dxa"/>
              <w:right w:w="20" w:type="dxa"/>
            </w:tcMar>
          </w:tcPr>
          <w:p w14:paraId="11D46EDC" w14:textId="77777777" w:rsidR="00BE21C9" w:rsidRDefault="00000000">
            <w:pPr>
              <w:jc w:val="center"/>
            </w:pPr>
            <w:r>
              <w:t>0.247</w:t>
            </w:r>
          </w:p>
        </w:tc>
        <w:tc>
          <w:tcPr>
            <w:tcW w:w="2040" w:type="dxa"/>
            <w:tcBorders>
              <w:top w:val="nil"/>
              <w:left w:val="nil"/>
              <w:bottom w:val="single" w:sz="6" w:space="0" w:color="000000"/>
              <w:right w:val="single" w:sz="6" w:space="0" w:color="000000"/>
            </w:tcBorders>
            <w:tcMar>
              <w:top w:w="0" w:type="dxa"/>
              <w:left w:w="20" w:type="dxa"/>
              <w:bottom w:w="0" w:type="dxa"/>
              <w:right w:w="20" w:type="dxa"/>
            </w:tcMar>
          </w:tcPr>
          <w:p w14:paraId="1DADA825" w14:textId="77777777" w:rsidR="00BE21C9" w:rsidRDefault="00000000">
            <w:pPr>
              <w:jc w:val="center"/>
            </w:pPr>
            <w:r>
              <w:t>0.282</w:t>
            </w:r>
          </w:p>
        </w:tc>
        <w:tc>
          <w:tcPr>
            <w:tcW w:w="2025" w:type="dxa"/>
            <w:tcBorders>
              <w:top w:val="nil"/>
              <w:left w:val="nil"/>
              <w:bottom w:val="single" w:sz="6" w:space="0" w:color="000000"/>
              <w:right w:val="single" w:sz="6" w:space="0" w:color="000000"/>
            </w:tcBorders>
            <w:tcMar>
              <w:top w:w="0" w:type="dxa"/>
              <w:left w:w="20" w:type="dxa"/>
              <w:bottom w:w="0" w:type="dxa"/>
              <w:right w:w="20" w:type="dxa"/>
            </w:tcMar>
          </w:tcPr>
          <w:p w14:paraId="2A184C17" w14:textId="77777777" w:rsidR="00BE21C9" w:rsidRDefault="00000000">
            <w:pPr>
              <w:jc w:val="center"/>
            </w:pPr>
            <w:r>
              <w:t>+0.035</w:t>
            </w: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012BCE20" w14:textId="77777777" w:rsidR="00BE21C9" w:rsidRDefault="00000000">
            <w:pPr>
              <w:jc w:val="center"/>
            </w:pPr>
            <w:r>
              <w:t>+14.2%</w:t>
            </w:r>
          </w:p>
        </w:tc>
      </w:tr>
      <w:tr w:rsidR="00BE21C9" w14:paraId="4BF9E182" w14:textId="77777777">
        <w:trPr>
          <w:trHeight w:val="270"/>
        </w:trPr>
        <w:tc>
          <w:tcPr>
            <w:tcW w:w="220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B50D42E" w14:textId="77777777" w:rsidR="00BE21C9" w:rsidRDefault="00000000">
            <w:pPr>
              <w:jc w:val="center"/>
            </w:pPr>
            <w:r>
              <w:t>Recall@10</w:t>
            </w:r>
          </w:p>
        </w:tc>
        <w:tc>
          <w:tcPr>
            <w:tcW w:w="1440" w:type="dxa"/>
            <w:tcBorders>
              <w:top w:val="nil"/>
              <w:left w:val="nil"/>
              <w:bottom w:val="single" w:sz="6" w:space="0" w:color="000000"/>
              <w:right w:val="single" w:sz="6" w:space="0" w:color="000000"/>
            </w:tcBorders>
            <w:tcMar>
              <w:top w:w="0" w:type="dxa"/>
              <w:left w:w="20" w:type="dxa"/>
              <w:bottom w:w="0" w:type="dxa"/>
              <w:right w:w="20" w:type="dxa"/>
            </w:tcMar>
          </w:tcPr>
          <w:p w14:paraId="66E8D983" w14:textId="77777777" w:rsidR="00BE21C9" w:rsidRDefault="00000000">
            <w:pPr>
              <w:jc w:val="center"/>
            </w:pPr>
            <w:r>
              <w:t>0.304</w:t>
            </w:r>
          </w:p>
        </w:tc>
        <w:tc>
          <w:tcPr>
            <w:tcW w:w="2040" w:type="dxa"/>
            <w:tcBorders>
              <w:top w:val="nil"/>
              <w:left w:val="nil"/>
              <w:bottom w:val="single" w:sz="6" w:space="0" w:color="000000"/>
              <w:right w:val="single" w:sz="6" w:space="0" w:color="000000"/>
            </w:tcBorders>
            <w:tcMar>
              <w:top w:w="0" w:type="dxa"/>
              <w:left w:w="20" w:type="dxa"/>
              <w:bottom w:w="0" w:type="dxa"/>
              <w:right w:w="20" w:type="dxa"/>
            </w:tcMar>
          </w:tcPr>
          <w:p w14:paraId="0DED754C" w14:textId="77777777" w:rsidR="00BE21C9" w:rsidRDefault="00000000">
            <w:pPr>
              <w:jc w:val="center"/>
            </w:pPr>
            <w:r>
              <w:t>0.339</w:t>
            </w:r>
          </w:p>
        </w:tc>
        <w:tc>
          <w:tcPr>
            <w:tcW w:w="2025" w:type="dxa"/>
            <w:tcBorders>
              <w:top w:val="nil"/>
              <w:left w:val="nil"/>
              <w:bottom w:val="single" w:sz="6" w:space="0" w:color="000000"/>
              <w:right w:val="single" w:sz="6" w:space="0" w:color="000000"/>
            </w:tcBorders>
            <w:tcMar>
              <w:top w:w="0" w:type="dxa"/>
              <w:left w:w="20" w:type="dxa"/>
              <w:bottom w:w="0" w:type="dxa"/>
              <w:right w:w="20" w:type="dxa"/>
            </w:tcMar>
          </w:tcPr>
          <w:p w14:paraId="69B99E01" w14:textId="77777777" w:rsidR="00BE21C9" w:rsidRDefault="00000000">
            <w:pPr>
              <w:jc w:val="center"/>
            </w:pPr>
            <w:r>
              <w:t>+0.035</w:t>
            </w: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10EF6B73" w14:textId="77777777" w:rsidR="00BE21C9" w:rsidRDefault="00000000">
            <w:pPr>
              <w:jc w:val="center"/>
            </w:pPr>
            <w:r>
              <w:t>+11.6%</w:t>
            </w:r>
          </w:p>
        </w:tc>
      </w:tr>
      <w:tr w:rsidR="00BE21C9" w14:paraId="1266E44B" w14:textId="77777777">
        <w:trPr>
          <w:trHeight w:val="270"/>
        </w:trPr>
        <w:tc>
          <w:tcPr>
            <w:tcW w:w="220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C4D240C" w14:textId="77777777" w:rsidR="00BE21C9" w:rsidRDefault="00000000">
            <w:pPr>
              <w:jc w:val="center"/>
            </w:pPr>
            <w:r>
              <w:t>Recall@20</w:t>
            </w:r>
          </w:p>
        </w:tc>
        <w:tc>
          <w:tcPr>
            <w:tcW w:w="1440" w:type="dxa"/>
            <w:tcBorders>
              <w:top w:val="nil"/>
              <w:left w:val="nil"/>
              <w:bottom w:val="single" w:sz="6" w:space="0" w:color="000000"/>
              <w:right w:val="single" w:sz="6" w:space="0" w:color="000000"/>
            </w:tcBorders>
            <w:tcMar>
              <w:top w:w="0" w:type="dxa"/>
              <w:left w:w="20" w:type="dxa"/>
              <w:bottom w:w="0" w:type="dxa"/>
              <w:right w:w="20" w:type="dxa"/>
            </w:tcMar>
          </w:tcPr>
          <w:p w14:paraId="466CC8CF" w14:textId="77777777" w:rsidR="00BE21C9" w:rsidRDefault="00000000">
            <w:pPr>
              <w:jc w:val="center"/>
            </w:pPr>
            <w:r>
              <w:t>0.379</w:t>
            </w:r>
          </w:p>
        </w:tc>
        <w:tc>
          <w:tcPr>
            <w:tcW w:w="2040" w:type="dxa"/>
            <w:tcBorders>
              <w:top w:val="nil"/>
              <w:left w:val="nil"/>
              <w:bottom w:val="single" w:sz="6" w:space="0" w:color="000000"/>
              <w:right w:val="single" w:sz="6" w:space="0" w:color="000000"/>
            </w:tcBorders>
            <w:tcMar>
              <w:top w:w="0" w:type="dxa"/>
              <w:left w:w="20" w:type="dxa"/>
              <w:bottom w:w="0" w:type="dxa"/>
              <w:right w:w="20" w:type="dxa"/>
            </w:tcMar>
          </w:tcPr>
          <w:p w14:paraId="56608EFB" w14:textId="77777777" w:rsidR="00BE21C9" w:rsidRDefault="00000000">
            <w:pPr>
              <w:jc w:val="center"/>
            </w:pPr>
            <w:r>
              <w:t>0.394</w:t>
            </w:r>
          </w:p>
        </w:tc>
        <w:tc>
          <w:tcPr>
            <w:tcW w:w="2025" w:type="dxa"/>
            <w:tcBorders>
              <w:top w:val="nil"/>
              <w:left w:val="nil"/>
              <w:bottom w:val="single" w:sz="6" w:space="0" w:color="000000"/>
              <w:right w:val="single" w:sz="6" w:space="0" w:color="000000"/>
            </w:tcBorders>
            <w:tcMar>
              <w:top w:w="0" w:type="dxa"/>
              <w:left w:w="20" w:type="dxa"/>
              <w:bottom w:w="0" w:type="dxa"/>
              <w:right w:w="20" w:type="dxa"/>
            </w:tcMar>
          </w:tcPr>
          <w:p w14:paraId="515A0E98" w14:textId="77777777" w:rsidR="00BE21C9" w:rsidRDefault="00000000">
            <w:pPr>
              <w:jc w:val="center"/>
            </w:pPr>
            <w:r>
              <w:t>+0.015</w:t>
            </w: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06EECE24" w14:textId="77777777" w:rsidR="00BE21C9" w:rsidRDefault="00000000">
            <w:pPr>
              <w:jc w:val="center"/>
            </w:pPr>
            <w:r>
              <w:t>+3.9%</w:t>
            </w:r>
          </w:p>
        </w:tc>
      </w:tr>
      <w:tr w:rsidR="00BE21C9" w14:paraId="535EDF07" w14:textId="77777777">
        <w:trPr>
          <w:trHeight w:val="270"/>
        </w:trPr>
        <w:tc>
          <w:tcPr>
            <w:tcW w:w="220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050C0FB" w14:textId="77777777" w:rsidR="00BE21C9" w:rsidRDefault="00000000">
            <w:pPr>
              <w:jc w:val="center"/>
            </w:pPr>
            <w:r>
              <w:t>nDCG@20</w:t>
            </w:r>
          </w:p>
        </w:tc>
        <w:tc>
          <w:tcPr>
            <w:tcW w:w="1440" w:type="dxa"/>
            <w:tcBorders>
              <w:top w:val="nil"/>
              <w:left w:val="nil"/>
              <w:bottom w:val="single" w:sz="6" w:space="0" w:color="000000"/>
              <w:right w:val="single" w:sz="6" w:space="0" w:color="000000"/>
            </w:tcBorders>
            <w:tcMar>
              <w:top w:w="0" w:type="dxa"/>
              <w:left w:w="20" w:type="dxa"/>
              <w:bottom w:w="0" w:type="dxa"/>
              <w:right w:w="20" w:type="dxa"/>
            </w:tcMar>
          </w:tcPr>
          <w:p w14:paraId="05080559" w14:textId="77777777" w:rsidR="00BE21C9" w:rsidRDefault="00000000">
            <w:pPr>
              <w:jc w:val="center"/>
            </w:pPr>
            <w:r>
              <w:t>0.240</w:t>
            </w:r>
          </w:p>
        </w:tc>
        <w:tc>
          <w:tcPr>
            <w:tcW w:w="2040" w:type="dxa"/>
            <w:tcBorders>
              <w:top w:val="nil"/>
              <w:left w:val="nil"/>
              <w:bottom w:val="single" w:sz="6" w:space="0" w:color="000000"/>
              <w:right w:val="single" w:sz="6" w:space="0" w:color="000000"/>
            </w:tcBorders>
            <w:tcMar>
              <w:top w:w="0" w:type="dxa"/>
              <w:left w:w="20" w:type="dxa"/>
              <w:bottom w:w="0" w:type="dxa"/>
              <w:right w:w="20" w:type="dxa"/>
            </w:tcMar>
          </w:tcPr>
          <w:p w14:paraId="1FC1E899" w14:textId="77777777" w:rsidR="00BE21C9" w:rsidRDefault="00000000">
            <w:pPr>
              <w:jc w:val="center"/>
            </w:pPr>
            <w:r>
              <w:t>0.260</w:t>
            </w:r>
          </w:p>
        </w:tc>
        <w:tc>
          <w:tcPr>
            <w:tcW w:w="2025" w:type="dxa"/>
            <w:tcBorders>
              <w:top w:val="nil"/>
              <w:left w:val="nil"/>
              <w:bottom w:val="single" w:sz="6" w:space="0" w:color="000000"/>
              <w:right w:val="single" w:sz="6" w:space="0" w:color="000000"/>
            </w:tcBorders>
            <w:tcMar>
              <w:top w:w="0" w:type="dxa"/>
              <w:left w:w="20" w:type="dxa"/>
              <w:bottom w:w="0" w:type="dxa"/>
              <w:right w:w="20" w:type="dxa"/>
            </w:tcMar>
          </w:tcPr>
          <w:p w14:paraId="6D04F113" w14:textId="77777777" w:rsidR="00BE21C9" w:rsidRDefault="00000000">
            <w:pPr>
              <w:jc w:val="center"/>
            </w:pPr>
            <w:r>
              <w:t>+0.020</w:t>
            </w: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71A14848" w14:textId="77777777" w:rsidR="00BE21C9" w:rsidRDefault="00000000">
            <w:pPr>
              <w:jc w:val="center"/>
            </w:pPr>
            <w:r>
              <w:t>+8.5%</w:t>
            </w:r>
          </w:p>
        </w:tc>
      </w:tr>
    </w:tbl>
    <w:p w14:paraId="799EE688" w14:textId="77777777" w:rsidR="00BE21C9" w:rsidRDefault="00000000">
      <w:pPr>
        <w:jc w:val="both"/>
      </w:pPr>
      <w:r>
        <w:t xml:space="preserve"> </w:t>
      </w:r>
    </w:p>
    <w:p w14:paraId="5FFEEB30" w14:textId="77777777" w:rsidR="00BE21C9" w:rsidRDefault="00000000">
      <w:pPr>
        <w:jc w:val="both"/>
      </w:pPr>
      <w:r>
        <w:t xml:space="preserve"> </w:t>
      </w:r>
    </w:p>
    <w:p w14:paraId="51916CF9" w14:textId="77777777" w:rsidR="00BE21C9" w:rsidRDefault="00000000">
      <w:pPr>
        <w:jc w:val="both"/>
      </w:pPr>
      <w:r>
        <w:t xml:space="preserve"> </w:t>
      </w:r>
    </w:p>
    <w:p w14:paraId="530E72CF" w14:textId="77777777" w:rsidR="00BE21C9" w:rsidRDefault="00000000">
      <w:pPr>
        <w:jc w:val="both"/>
        <w:rPr>
          <w:b/>
          <w:bCs/>
          <w:sz w:val="24"/>
          <w:szCs w:val="24"/>
        </w:rPr>
      </w:pPr>
      <w:r>
        <w:rPr>
          <w:b/>
          <w:bCs/>
          <w:sz w:val="24"/>
          <w:szCs w:val="24"/>
        </w:rPr>
        <w:t>3.6 Conclusion</w:t>
      </w:r>
    </w:p>
    <w:p w14:paraId="6C574DAE" w14:textId="77777777" w:rsidR="00BE21C9" w:rsidRDefault="00000000">
      <w:pPr>
        <w:jc w:val="both"/>
      </w:pPr>
      <w:r>
        <w:t xml:space="preserve">This research demonstrates that financial document retrieval requires sophisticated semantic understanding that traditional lexical methods cannot provide. Our comprehensive evaluation on SEC 10-K filings using the </w:t>
      </w:r>
      <w:proofErr w:type="spellStart"/>
      <w:r>
        <w:t>FinDER</w:t>
      </w:r>
      <w:proofErr w:type="spellEnd"/>
      <w:r>
        <w:t xml:space="preserve"> dataset reveals: (1) (2) (3) Lexical search (BM25) is fundamentally insufficient, achieving only 10% Recall@20 due to vocabulary</w:t>
      </w:r>
    </w:p>
    <w:p w14:paraId="6C4C0E49" w14:textId="77777777" w:rsidR="00BE21C9" w:rsidRDefault="00000000">
      <w:pPr>
        <w:jc w:val="both"/>
      </w:pPr>
      <w:r>
        <w:t xml:space="preserve">mismatch and inability to capture semantic relationships. Fine-tuned dense retrieval provides substantial improvement, achieving 37.1% Recall@20 (3.7× improvement) by learning semantic representations specific to financial language. Hybrid architecture with reranking delivers optimal performance, achieving 37.9% Recall@20 and 0.206 MRR, with the </w:t>
      </w:r>
      <w:proofErr w:type="spellStart"/>
      <w:r>
        <w:t>reranker</w:t>
      </w:r>
      <w:proofErr w:type="spellEnd"/>
      <w:r>
        <w:t xml:space="preserve"> improving top-rank accuracy by 49%. Financial analysis will increasingly leverage AI-powered tools to handle the growing volume and complexity of regulatory filings. Our research demonstrates that while current neural retrieval methods offer significant improvements over traditional approaches, substantial opportunities remain for innovation in numerical reasoning, multi-modal understanding, and interactive analysis. The automated Financial Document Expert system we envision </w:t>
      </w:r>
      <w:proofErr w:type="gramStart"/>
      <w:r>
        <w:t>is capable of answering</w:t>
      </w:r>
      <w:proofErr w:type="gramEnd"/>
      <w:r>
        <w:t xml:space="preserve"> complex queries with high accuracy and explaining its reasoning remains a work in progress. However, our results show meaningful progress toward this goal, reducing analysis time and enabling financial professionals to focus on higher-level interpretation and decision-making. This acts as foundational base for getting specialized results in the financial domain.</w:t>
      </w:r>
    </w:p>
    <w:p w14:paraId="3CCCECF2" w14:textId="77777777" w:rsidR="00BE21C9" w:rsidRDefault="00000000">
      <w:pPr>
        <w:jc w:val="both"/>
      </w:pPr>
      <w:r>
        <w:t xml:space="preserve"> </w:t>
      </w:r>
    </w:p>
    <w:p w14:paraId="1CAAE572" w14:textId="77777777" w:rsidR="00BE21C9" w:rsidRDefault="00BE21C9">
      <w:pPr>
        <w:jc w:val="both"/>
        <w:rPr>
          <w:b/>
          <w:bCs/>
          <w:sz w:val="34"/>
          <w:szCs w:val="34"/>
        </w:rPr>
      </w:pPr>
    </w:p>
    <w:sectPr w:rsidR="00BE21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B048E75-1E47-1E44-8708-997ADDD44246}"/>
    <w:embedBold r:id="rId2" w:fontKey="{F53FC399-55B8-1F49-8FEC-7309FC1F3B2B}"/>
    <w:embedItalic r:id="rId3" w:fontKey="{8007EE94-D7F1-D04C-BD69-DCEB493F0EDC}"/>
  </w:font>
  <w:font w:name="Times New Roman">
    <w:panose1 w:val="02020603050405020304"/>
    <w:charset w:val="00"/>
    <w:family w:val="roman"/>
    <w:pitch w:val="variable"/>
    <w:sig w:usb0="E0002EFF" w:usb1="C000785B" w:usb2="00000009" w:usb3="00000000" w:csb0="000001FF" w:csb1="00000000"/>
    <w:embedRegular r:id="rId4" w:fontKey="{FA05484C-122F-C64B-98CB-A80CB71E596B}"/>
  </w:font>
  <w:font w:name="Arial Unicode MS">
    <w:panose1 w:val="020B0604020202020204"/>
    <w:charset w:val="80"/>
    <w:family w:val="swiss"/>
    <w:pitch w:val="variable"/>
    <w:sig w:usb0="F7FFAFFF" w:usb1="E9DFFFFF" w:usb2="0000003F" w:usb3="00000000" w:csb0="003F01FF" w:csb1="00000000"/>
    <w:embedRegular r:id="rId5" w:subsetted="1" w:fontKey="{5F5BAD12-910B-844D-BC28-E8E5DFECDD83}"/>
  </w:font>
  <w:font w:name="Calibri">
    <w:panose1 w:val="020F0502020204030204"/>
    <w:charset w:val="00"/>
    <w:family w:val="swiss"/>
    <w:pitch w:val="variable"/>
    <w:sig w:usb0="E0002AFF" w:usb1="C000247B" w:usb2="00000009" w:usb3="00000000" w:csb0="000001FF" w:csb1="00000000"/>
    <w:embedRegular r:id="rId6" w:fontKey="{D01839EF-CF08-EE40-BC3C-2220FE43CDBE}"/>
  </w:font>
  <w:font w:name="Cambria">
    <w:panose1 w:val="02040503050406030204"/>
    <w:charset w:val="00"/>
    <w:family w:val="roman"/>
    <w:pitch w:val="variable"/>
    <w:sig w:usb0="E00002FF" w:usb1="400004FF" w:usb2="00000000" w:usb3="00000000" w:csb0="0000019F" w:csb1="00000000"/>
    <w:embedRegular r:id="rId7" w:fontKey="{4ABAF608-9CC7-9D41-98BF-78196FE9EEF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1C9"/>
    <w:rsid w:val="00152808"/>
    <w:rsid w:val="003A35D7"/>
    <w:rsid w:val="00BE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62400"/>
  <w15:docId w15:val="{0CCB25F3-CD69-BE42-B191-D9E6D73B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2149</Words>
  <Characters>12254</Characters>
  <Application>Microsoft Office Word</Application>
  <DocSecurity>0</DocSecurity>
  <Lines>102</Lines>
  <Paragraphs>28</Paragraphs>
  <ScaleCrop>false</ScaleCrop>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Kriti Shahi</cp:lastModifiedBy>
  <cp:revision>2</cp:revision>
  <dcterms:created xsi:type="dcterms:W3CDTF">2026-08-24T20:32:00Z</dcterms:created>
  <dcterms:modified xsi:type="dcterms:W3CDTF">2026-08-24T20:33:00Z</dcterms:modified>
</cp:coreProperties>
</file>