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A" w:rsidRDefault="00373F3A">
      <w:r w:rsidRPr="00373F3A">
        <w:drawing>
          <wp:inline distT="0" distB="0" distL="0" distR="0">
            <wp:extent cx="5943600" cy="3465195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D13AD" w:rsidRDefault="005D13AD"/>
    <w:p w:rsidR="005D13AD" w:rsidRDefault="005D13AD">
      <w:r w:rsidRPr="005D13AD">
        <w:drawing>
          <wp:inline distT="0" distB="0" distL="0" distR="0">
            <wp:extent cx="6304085" cy="3868615"/>
            <wp:effectExtent l="0" t="0" r="1465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0314" w:rsidRDefault="00270314"/>
    <w:sectPr w:rsidR="00270314" w:rsidSect="00AC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67EF"/>
    <w:rsid w:val="001767EF"/>
    <w:rsid w:val="001C444F"/>
    <w:rsid w:val="001D509B"/>
    <w:rsid w:val="00270314"/>
    <w:rsid w:val="00373F3A"/>
    <w:rsid w:val="005D13AD"/>
    <w:rsid w:val="00715070"/>
    <w:rsid w:val="0081342C"/>
    <w:rsid w:val="00881FDC"/>
    <w:rsid w:val="008F2463"/>
    <w:rsid w:val="00AC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2"/>
  <c:chart>
    <c:title>
      <c:tx>
        <c:rich>
          <a:bodyPr/>
          <a:lstStyle/>
          <a:p>
            <a:pPr>
              <a:defRPr/>
            </a:pPr>
            <a:r>
              <a:rPr lang="en-US"/>
              <a:t>Comparison - limiting magnitude</a:t>
            </a:r>
          </a:p>
        </c:rich>
      </c:tx>
      <c:overlay val="1"/>
    </c:title>
    <c:plotArea>
      <c:layout/>
      <c:barChart>
        <c:barDir val="col"/>
        <c:grouping val="clustered"/>
        <c:ser>
          <c:idx val="0"/>
          <c:order val="0"/>
          <c:tx>
            <c:v>Limiting magnitude without including the visible period</c:v>
          </c:tx>
          <c:cat>
            <c:numLit>
              <c:formatCode>General</c:formatCode>
              <c:ptCount val="4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</c:numLit>
          </c:cat>
          <c:val>
            <c:numRef>
              <c:f>'Comparing using years'!$B$2:$B$5</c:f>
              <c:numCache>
                <c:formatCode>General</c:formatCode>
                <c:ptCount val="4"/>
                <c:pt idx="0">
                  <c:v>3.2222222222222201</c:v>
                </c:pt>
                <c:pt idx="1">
                  <c:v>3.3740746700997697</c:v>
                </c:pt>
                <c:pt idx="2">
                  <c:v>3.3280064459813299</c:v>
                </c:pt>
                <c:pt idx="3">
                  <c:v>3.2235755573905807</c:v>
                </c:pt>
              </c:numCache>
            </c:numRef>
          </c:val>
        </c:ser>
        <c:ser>
          <c:idx val="1"/>
          <c:order val="1"/>
          <c:tx>
            <c:v>Limited Magnitude inclusive of best visible period</c:v>
          </c:tx>
          <c:cat>
            <c:numLit>
              <c:formatCode>General</c:formatCode>
              <c:ptCount val="4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</c:numLit>
          </c:cat>
          <c:val>
            <c:numRef>
              <c:f>'Comparing using years'!$C$2:$C$5</c:f>
              <c:numCache>
                <c:formatCode>General</c:formatCode>
                <c:ptCount val="4"/>
                <c:pt idx="0">
                  <c:v>3.3333333333333295</c:v>
                </c:pt>
                <c:pt idx="1">
                  <c:v>2.8679245283018804</c:v>
                </c:pt>
                <c:pt idx="2">
                  <c:v>3.3171832091016</c:v>
                </c:pt>
                <c:pt idx="3">
                  <c:v>3.2670391061452499</c:v>
                </c:pt>
              </c:numCache>
            </c:numRef>
          </c:val>
        </c:ser>
        <c:axId val="125185408"/>
        <c:axId val="125388672"/>
      </c:barChart>
      <c:catAx>
        <c:axId val="1251854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</c:title>
        <c:numFmt formatCode="General" sourceLinked="1"/>
        <c:tickLblPos val="nextTo"/>
        <c:crossAx val="125388672"/>
        <c:crosses val="autoZero"/>
        <c:auto val="1"/>
        <c:lblAlgn val="ctr"/>
        <c:lblOffset val="100"/>
      </c:catAx>
      <c:valAx>
        <c:axId val="1253886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Limiting Magnitude</a:t>
                </a:r>
              </a:p>
            </c:rich>
          </c:tx>
        </c:title>
        <c:numFmt formatCode="General" sourceLinked="1"/>
        <c:tickLblPos val="nextTo"/>
        <c:crossAx val="125185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2"/>
  <c:chart>
    <c:title>
      <c:tx>
        <c:rich>
          <a:bodyPr/>
          <a:lstStyle/>
          <a:p>
            <a:pPr>
              <a:defRPr/>
            </a:pPr>
            <a:r>
              <a:rPr lang="en-US"/>
              <a:t>Comparison- Limiting Magnitude each month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4184723080351869"/>
          <c:y val="3.6447669256310072E-2"/>
          <c:w val="0.57316914349981019"/>
          <c:h val="0.71226524221200627"/>
        </c:manualLayout>
      </c:layout>
      <c:barChart>
        <c:barDir val="col"/>
        <c:grouping val="clustered"/>
        <c:ser>
          <c:idx val="0"/>
          <c:order val="0"/>
          <c:tx>
            <c:v>Limiting Magnitude each month withouht including visible period</c:v>
          </c:tx>
          <c:cat>
            <c:strLit>
              <c:ptCount val="16"/>
              <c:pt idx="0">
                <c:v>Feb-10</c:v>
              </c:pt>
              <c:pt idx="1">
                <c:v>Apr-10</c:v>
              </c:pt>
              <c:pt idx="2">
                <c:v>Jan-11</c:v>
              </c:pt>
              <c:pt idx="3">
                <c:v>Feb-11</c:v>
              </c:pt>
              <c:pt idx="4">
                <c:v>Mar-11</c:v>
              </c:pt>
              <c:pt idx="5">
                <c:v>Apr-11</c:v>
              </c:pt>
              <c:pt idx="6">
                <c:v>Jan-12</c:v>
              </c:pt>
              <c:pt idx="7">
                <c:v>Feb-12</c:v>
              </c:pt>
              <c:pt idx="8">
                <c:v>Mar-12</c:v>
              </c:pt>
              <c:pt idx="9">
                <c:v>Apr-12</c:v>
              </c:pt>
              <c:pt idx="10">
                <c:v>Jan-13</c:v>
              </c:pt>
              <c:pt idx="11">
                <c:v>Feb-13</c:v>
              </c:pt>
              <c:pt idx="12">
                <c:v>Mar-13</c:v>
              </c:pt>
              <c:pt idx="13">
                <c:v>Apr-13</c:v>
              </c:pt>
              <c:pt idx="14">
                <c:v>May-13</c:v>
              </c:pt>
              <c:pt idx="15">
                <c:v>Jun-13</c:v>
              </c:pt>
            </c:strLit>
          </c:cat>
          <c:val>
            <c:numRef>
              <c:f>'Comparing using months'!$C$11:$C$26</c:f>
              <c:numCache>
                <c:formatCode>General</c:formatCode>
                <c:ptCount val="16"/>
                <c:pt idx="0">
                  <c:v>3</c:v>
                </c:pt>
                <c:pt idx="1">
                  <c:v>3.3333333333333295</c:v>
                </c:pt>
                <c:pt idx="2">
                  <c:v>4</c:v>
                </c:pt>
                <c:pt idx="3">
                  <c:v>3.5697789508412998</c:v>
                </c:pt>
                <c:pt idx="4">
                  <c:v>3.37292576419213</c:v>
                </c:pt>
                <c:pt idx="5">
                  <c:v>2.9507603186096998</c:v>
                </c:pt>
                <c:pt idx="6">
                  <c:v>3.39140495867768</c:v>
                </c:pt>
                <c:pt idx="7">
                  <c:v>3.3098311817278998</c:v>
                </c:pt>
                <c:pt idx="8">
                  <c:v>3.3333333333333295</c:v>
                </c:pt>
                <c:pt idx="9">
                  <c:v>3.2858984274297494</c:v>
                </c:pt>
                <c:pt idx="10">
                  <c:v>3.2665397429795311</c:v>
                </c:pt>
                <c:pt idx="11">
                  <c:v>3.03946920721333</c:v>
                </c:pt>
                <c:pt idx="12">
                  <c:v>3.3018458197611191</c:v>
                </c:pt>
                <c:pt idx="13">
                  <c:v>3.4184200079396501</c:v>
                </c:pt>
                <c:pt idx="14">
                  <c:v>3.0592783505154597</c:v>
                </c:pt>
                <c:pt idx="15">
                  <c:v>2.7749999999999999</c:v>
                </c:pt>
              </c:numCache>
            </c:numRef>
          </c:val>
        </c:ser>
        <c:ser>
          <c:idx val="1"/>
          <c:order val="1"/>
          <c:tx>
            <c:v>Limiting Magnitude each month after including visible period</c:v>
          </c:tx>
          <c:cat>
            <c:strLit>
              <c:ptCount val="16"/>
              <c:pt idx="0">
                <c:v>Feb-10</c:v>
              </c:pt>
              <c:pt idx="1">
                <c:v>Apr-10</c:v>
              </c:pt>
              <c:pt idx="2">
                <c:v>Jan-11</c:v>
              </c:pt>
              <c:pt idx="3">
                <c:v>Feb-11</c:v>
              </c:pt>
              <c:pt idx="4">
                <c:v>Mar-11</c:v>
              </c:pt>
              <c:pt idx="5">
                <c:v>Apr-11</c:v>
              </c:pt>
              <c:pt idx="6">
                <c:v>Jan-12</c:v>
              </c:pt>
              <c:pt idx="7">
                <c:v>Feb-12</c:v>
              </c:pt>
              <c:pt idx="8">
                <c:v>Mar-12</c:v>
              </c:pt>
              <c:pt idx="9">
                <c:v>Apr-12</c:v>
              </c:pt>
              <c:pt idx="10">
                <c:v>Jan-13</c:v>
              </c:pt>
              <c:pt idx="11">
                <c:v>Feb-13</c:v>
              </c:pt>
              <c:pt idx="12">
                <c:v>Mar-13</c:v>
              </c:pt>
              <c:pt idx="13">
                <c:v>Apr-13</c:v>
              </c:pt>
              <c:pt idx="14">
                <c:v>May-13</c:v>
              </c:pt>
              <c:pt idx="15">
                <c:v>Jun-13</c:v>
              </c:pt>
            </c:strLit>
          </c:cat>
          <c:val>
            <c:numRef>
              <c:f>'Comparing using months'!$D$11:$D$26</c:f>
              <c:numCache>
                <c:formatCode>General</c:formatCode>
                <c:ptCount val="16"/>
                <c:pt idx="1">
                  <c:v>3.3333333333333295</c:v>
                </c:pt>
                <c:pt idx="2">
                  <c:v>4</c:v>
                </c:pt>
                <c:pt idx="5">
                  <c:v>2.8670338316286301</c:v>
                </c:pt>
                <c:pt idx="6">
                  <c:v>3.3889440582588501</c:v>
                </c:pt>
                <c:pt idx="9">
                  <c:v>3.212806933076549</c:v>
                </c:pt>
                <c:pt idx="10">
                  <c:v>3.2665397429795311</c:v>
                </c:pt>
                <c:pt idx="13">
                  <c:v>3.2236719478098705</c:v>
                </c:pt>
                <c:pt idx="14">
                  <c:v>3.6798245614035001</c:v>
                </c:pt>
              </c:numCache>
            </c:numRef>
          </c:val>
        </c:ser>
        <c:axId val="137956352"/>
        <c:axId val="123253120"/>
      </c:barChart>
      <c:catAx>
        <c:axId val="137956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Months</a:t>
                </a:r>
              </a:p>
            </c:rich>
          </c:tx>
        </c:title>
        <c:tickLblPos val="nextTo"/>
        <c:crossAx val="123253120"/>
        <c:crosses val="autoZero"/>
        <c:auto val="1"/>
        <c:lblAlgn val="ctr"/>
        <c:lblOffset val="100"/>
      </c:catAx>
      <c:valAx>
        <c:axId val="123253120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Limiting Magnitude</a:t>
                </a:r>
              </a:p>
            </c:rich>
          </c:tx>
        </c:title>
        <c:numFmt formatCode="General" sourceLinked="1"/>
        <c:tickLblPos val="nextTo"/>
        <c:crossAx val="137956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710377477461041"/>
          <c:y val="0.23354637253900951"/>
          <c:w val="0.27088165848017587"/>
          <c:h val="0.4311393095461812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Kri89</dc:creator>
  <cp:lastModifiedBy>Kri89</cp:lastModifiedBy>
  <cp:revision>2</cp:revision>
  <dcterms:created xsi:type="dcterms:W3CDTF">2014-02-27T08:50:00Z</dcterms:created>
  <dcterms:modified xsi:type="dcterms:W3CDTF">2014-02-28T02:02:00Z</dcterms:modified>
</cp:coreProperties>
</file>