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top w:val="single" w:sz="28" w:color="C0450A"/>
        </w:pBdr>
      </w:pPr>
    </w:p>
    <w:p>
      <w:pPr>
        <w:spacing w:after="360"/>
      </w:pPr>
      <w:r>
        <w:rPr>
          <w:rFonts w:ascii="Calibri" w:hAnsi="Calibri"/>
          <w:b/>
          <w:i w:val="0"/>
          <w:color w:val="20242B"/>
          <w:sz w:val="24"/>
        </w:rPr>
        <w:t>Nerds</w:t>
      </w:r>
      <w:r>
        <w:rPr>
          <w:rFonts w:ascii="Calibri" w:hAnsi="Calibri"/>
          <w:b/>
          <w:i w:val="0"/>
          <w:color w:val="C0450A"/>
          <w:sz w:val="24"/>
        </w:rPr>
        <w:t>To</w:t>
      </w:r>
      <w:r>
        <w:rPr>
          <w:rFonts w:ascii="Calibri" w:hAnsi="Calibri"/>
          <w:b/>
          <w:i w:val="0"/>
          <w:color w:val="20242B"/>
          <w:sz w:val="24"/>
        </w:rPr>
        <w:t>Go</w:t>
      </w:r>
      <w:r>
        <w:rPr>
          <w:rFonts w:ascii="Calibri" w:hAnsi="Calibri"/>
          <w:b/>
          <w:i w:val="0"/>
          <w:color w:val="767C86"/>
          <w:sz w:val="18"/>
        </w:rPr>
        <w:t xml:space="preserve">    ·  NETWORK ASSESSMENT  ·  METHODOLOGY REFERENCE</w:t>
      </w:r>
    </w:p>
    <w:p>
      <w:pPr>
        <w:spacing w:after="160"/>
      </w:pPr>
      <w:r>
        <w:rPr>
          <w:rFonts w:ascii="Calibri" w:hAnsi="Calibri"/>
          <w:b/>
          <w:color w:val="20242B"/>
          <w:sz w:val="56"/>
        </w:rPr>
        <w:t>Risk Scoring &amp; Threat Detection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4F58"/>
          <w:sz w:val="24"/>
        </w:rPr>
        <w:t>How the network analyzer turns a raw packet capture and an active scan into a single risk score — and the exact traffic patterns behind every finding it reports.</w:t>
      </w:r>
    </w:p>
    <w:p>
      <w:pPr>
        <w:spacing w:before="280" w:after="240"/>
        <w:pBdr>
          <w:bottom w:val="single" w:sz="6" w:color="D9D4CB"/>
        </w:pBdr>
      </w:pPr>
    </w:p>
    <w:p>
      <w:pPr>
        <w:spacing w:before="280" w:after="40"/>
      </w:pPr>
      <w:r>
        <w:rPr>
          <w:rFonts w:ascii="Calibri" w:hAnsi="Calibri"/>
          <w:b/>
          <w:color w:val="C0450A"/>
          <w:sz w:val="18"/>
        </w:rPr>
        <w:t xml:space="preserve">PART 01   </w:t>
      </w:r>
      <w:r>
        <w:rPr>
          <w:rFonts w:ascii="Calibri" w:hAnsi="Calibri"/>
          <w:b/>
          <w:color w:val="767C86"/>
          <w:sz w:val="18"/>
        </w:rPr>
        <w:t>UNDERSTANDING THE RISK SCORE</w:t>
      </w:r>
    </w:p>
    <w:p>
      <w:pPr>
        <w:spacing w:after="160" w:before="40"/>
      </w:pPr>
      <w:r>
        <w:rPr>
          <w:rFonts w:ascii="Calibri" w:hAnsi="Calibri"/>
          <w:b/>
          <w:color w:val="20242B"/>
          <w:sz w:val="38"/>
        </w:rPr>
        <w:t>What the Risk Score Means</w:t>
      </w:r>
    </w:p>
    <w:p>
      <w:pPr>
        <w:spacing w:after="120"/>
      </w:pPr>
      <w:r>
        <w:rPr>
          <w:rFonts w:ascii="Calibri" w:hAnsi="Calibri"/>
          <w:b w:val="0"/>
          <w:i w:val="0"/>
          <w:color w:val="20242B"/>
          <w:sz w:val="21"/>
        </w:rPr>
        <w:t xml:space="preserve">The Risk Score is a single number from </w:t>
      </w:r>
      <w:r>
        <w:rPr>
          <w:rFonts w:ascii="Calibri" w:hAnsi="Calibri"/>
          <w:b/>
          <w:i w:val="0"/>
          <w:color w:val="20242B"/>
          <w:sz w:val="21"/>
        </w:rPr>
        <w:t>0 to 100</w:t>
      </w:r>
      <w:r>
        <w:rPr>
          <w:rFonts w:ascii="Calibri" w:hAnsi="Calibri"/>
          <w:b w:val="0"/>
          <w:i w:val="0"/>
          <w:color w:val="20242B"/>
          <w:sz w:val="21"/>
        </w:rPr>
        <w:t xml:space="preserve"> that summarizes everything the analyzer found in a capture. It combines every individual alert into one figure, which is then translated into a plain-language risk label from </w:t>
      </w:r>
      <w:r>
        <w:rPr>
          <w:rFonts w:ascii="Calibri" w:hAnsi="Calibri"/>
          <w:b/>
          <w:i w:val="0"/>
          <w:color w:val="20242B"/>
          <w:sz w:val="21"/>
        </w:rPr>
        <w:t>CLEAN</w:t>
      </w:r>
      <w:r>
        <w:rPr>
          <w:rFonts w:ascii="Calibri" w:hAnsi="Calibri"/>
          <w:b w:val="0"/>
          <w:i w:val="0"/>
          <w:color w:val="20242B"/>
          <w:sz w:val="21"/>
        </w:rPr>
        <w:t xml:space="preserve"> to </w:t>
      </w:r>
      <w:r>
        <w:rPr>
          <w:rFonts w:ascii="Calibri" w:hAnsi="Calibri"/>
          <w:b/>
          <w:i w:val="0"/>
          <w:color w:val="20242B"/>
          <w:sz w:val="21"/>
        </w:rPr>
        <w:t>CRITICAL</w:t>
      </w:r>
      <w:r>
        <w:rPr>
          <w:rFonts w:ascii="Calibri" w:hAnsi="Calibri"/>
          <w:b w:val="0"/>
          <w:i w:val="0"/>
          <w:color w:val="20242B"/>
          <w:sz w:val="21"/>
        </w:rPr>
        <w:t>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4F58"/>
          <w:sz w:val="21"/>
        </w:rPr>
        <w:t>The score is deliberately conservative. It resists overreacting to weak or ambiguous signals, so it only raises alarm when a threat is either confirmed outright or backed up by multiple independent findings.</w:t>
      </w:r>
    </w:p>
    <w:p>
      <w:pPr>
        <w:spacing w:before="280" w:after="80"/>
      </w:pPr>
      <w:r>
        <w:rPr>
          <w:rFonts w:ascii="Calibri" w:hAnsi="Calibri"/>
          <w:b/>
          <w:color w:val="20242B"/>
          <w:sz w:val="25"/>
        </w:rPr>
        <w:t>How the score is built</w:t>
      </w:r>
    </w:p>
    <w:p>
      <w:r>
        <w:rPr>
          <w:rFonts w:ascii="Calibri" w:hAnsi="Calibri"/>
          <w:b/>
          <w:i w:val="0"/>
          <w:color w:val="20242B"/>
          <w:sz w:val="21"/>
        </w:rPr>
        <w:t xml:space="preserve">1. Every type of alert carries a weight. </w:t>
      </w:r>
      <w:r>
        <w:rPr>
          <w:rFonts w:ascii="Calibri" w:hAnsi="Calibri"/>
          <w:b w:val="0"/>
          <w:i w:val="0"/>
          <w:color w:val="20242B"/>
          <w:sz w:val="21"/>
        </w:rPr>
        <w:t>Each weight reflects two things at once: how confident we are that the detection is real, and how much damage the threat could do across the network. Confirmed, network-wide attacks score highest; theoretical or low-impact findings score lowest.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Category</w:t>
            </w:r>
          </w:p>
        </w:tc>
        <w:tc>
          <w:tcPr>
            <w:tcW w:type="dxa" w:w="489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Examples</w:t>
            </w:r>
          </w:p>
        </w:tc>
        <w:tc>
          <w:tcPr>
            <w:tcW w:type="dxa" w:w="129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Weight</w:t>
            </w:r>
          </w:p>
        </w:tc>
      </w:tr>
      <w:tr>
        <w:tc>
          <w:tcPr>
            <w:tcW w:type="dxa" w:w="345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Confirmed, network-wide threats</w:t>
            </w:r>
          </w:p>
        </w:tc>
        <w:tc>
          <w:tcPr>
            <w:tcW w:type="dxa" w:w="48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ARP spoofing, rogue DHCP, DNS tunneling, DNS rebinding</w:t>
            </w:r>
          </w:p>
        </w:tc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20242B"/>
                <w:sz w:val="20"/>
              </w:rPr>
              <w:t>26–30</w:t>
            </w:r>
          </w:p>
        </w:tc>
      </w:tr>
      <w:tr>
        <w:tc>
          <w:tcPr>
            <w:tcW w:type="dxa" w:w="345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Confirmed, device or data threats</w:t>
            </w:r>
          </w:p>
        </w:tc>
        <w:tc>
          <w:tcPr>
            <w:tcW w:type="dxa" w:w="48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Data exfiltration, known command-and-control domain</w:t>
            </w:r>
          </w:p>
        </w:tc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20242B"/>
                <w:sz w:val="20"/>
              </w:rPr>
              <w:t>20–22</w:t>
            </w:r>
          </w:p>
        </w:tc>
      </w:tr>
      <w:tr>
        <w:tc>
          <w:tcPr>
            <w:tcW w:type="dxa" w:w="345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Strong warning signs (pattern-based)</w:t>
            </w:r>
          </w:p>
        </w:tc>
        <w:tc>
          <w:tcPr>
            <w:tcW w:type="dxa" w:w="48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C2 beaconing, SMB lateral movement, LLMNR poisoning</w:t>
            </w:r>
          </w:p>
        </w:tc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20242B"/>
                <w:sz w:val="20"/>
              </w:rPr>
              <w:t>16–18</w:t>
            </w:r>
          </w:p>
        </w:tc>
      </w:tr>
      <w:tr>
        <w:tc>
          <w:tcPr>
            <w:tcW w:type="dxa" w:w="345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Observed anomalies</w:t>
            </w:r>
          </w:p>
        </w:tc>
        <w:tc>
          <w:tcPr>
            <w:tcW w:type="dxa" w:w="48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Suspicious ports, port scans, cleartext protocols</w:t>
            </w:r>
          </w:p>
        </w:tc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20242B"/>
                <w:sz w:val="20"/>
              </w:rPr>
              <w:t>7–10</w:t>
            </w:r>
          </w:p>
        </w:tc>
      </w:tr>
      <w:tr>
        <w:tc>
          <w:tcPr>
            <w:tcW w:type="dxa" w:w="345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Informational only</w:t>
            </w:r>
          </w:p>
        </w:tc>
        <w:tc>
          <w:tcPr>
            <w:tcW w:type="dxa" w:w="48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Unknown device, ghost device, MAC privacy</w:t>
            </w:r>
          </w:p>
        </w:tc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hAnsi="Calibri"/>
                <w:b/>
                <w:color w:val="20242B"/>
                <w:sz w:val="20"/>
              </w:rPr>
              <w:t>0–3</w:t>
            </w:r>
          </w:p>
        </w:tc>
      </w:tr>
    </w:tbl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p>
      <w:r>
        <w:rPr>
          <w:rFonts w:ascii="Calibri" w:hAnsi="Calibri"/>
          <w:b/>
          <w:i w:val="0"/>
          <w:color w:val="20242B"/>
          <w:sz w:val="21"/>
        </w:rPr>
        <w:t xml:space="preserve">2. Each type of threat is counted only once. </w:t>
      </w:r>
      <w:r>
        <w:rPr>
          <w:rFonts w:ascii="Calibri" w:hAnsi="Calibri"/>
          <w:b w:val="0"/>
          <w:i w:val="0"/>
          <w:color w:val="20242B"/>
          <w:sz w:val="21"/>
        </w:rPr>
        <w:t>Finding ten unknown devices is not ten times more dangerous than finding one — it is still the same category. Repeated alerts of the same type confirm the finding but do not inflate the score. The total is then capped at 100.</w:t>
      </w:r>
    </w:p>
    <w:p>
      <w:pPr>
        <w:spacing w:before="280" w:after="80"/>
      </w:pPr>
      <w:r>
        <w:rPr>
          <w:rFonts w:ascii="Calibri" w:hAnsi="Calibri"/>
          <w:b/>
          <w:color w:val="20242B"/>
          <w:sz w:val="25"/>
        </w:rPr>
        <w:t>What the numbers mean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Score</w:t>
            </w:r>
          </w:p>
        </w:tc>
        <w:tc>
          <w:tcPr>
            <w:tcW w:type="dxa" w:w="201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Level</w:t>
            </w:r>
          </w:p>
        </w:tc>
        <w:tc>
          <w:tcPr>
            <w:tcW w:type="dxa" w:w="6336"/>
            <w:tcBorders>
              <w:bottom w:val="single" w:sz="8" w:color="B8B2A8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aps/>
                <w:color w:val="767C86"/>
                <w:sz w:val="17"/>
              </w:rPr>
              <w:t>Meaning</w:t>
            </w:r>
          </w:p>
        </w:tc>
      </w:tr>
      <w:tr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onsolas" w:hAnsi="Consolas"/>
                <w:color w:val="20242B"/>
                <w:sz w:val="20"/>
              </w:rPr>
              <w:t>0</w:t>
            </w:r>
          </w:p>
        </w:tc>
        <w:tc>
          <w:tcPr>
            <w:tcW w:type="dxa" w:w="201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1F6B41"/>
                <w:sz w:val="20"/>
              </w:rPr>
              <w:t>CLEAN</w:t>
            </w:r>
          </w:p>
        </w:tc>
        <w:tc>
          <w:tcPr>
            <w:tcW w:type="dxa" w:w="633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No threats detected.</w:t>
            </w:r>
          </w:p>
        </w:tc>
      </w:tr>
      <w:tr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onsolas" w:hAnsi="Consolas"/>
                <w:color w:val="20242B"/>
                <w:sz w:val="20"/>
              </w:rPr>
              <w:t>1–11</w:t>
            </w:r>
          </w:p>
        </w:tc>
        <w:tc>
          <w:tcPr>
            <w:tcW w:type="dxa" w:w="201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245A8F"/>
                <w:sz w:val="20"/>
              </w:rPr>
              <w:t>LOW</w:t>
            </w:r>
          </w:p>
        </w:tc>
        <w:tc>
          <w:tcPr>
            <w:tcW w:type="dxa" w:w="633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Only minor or informational findings.</w:t>
            </w:r>
          </w:p>
        </w:tc>
      </w:tr>
      <w:tr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onsolas" w:hAnsi="Consolas"/>
                <w:color w:val="20242B"/>
                <w:sz w:val="20"/>
              </w:rPr>
              <w:t>12–29</w:t>
            </w:r>
          </w:p>
        </w:tc>
        <w:tc>
          <w:tcPr>
            <w:tcW w:type="dxa" w:w="201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8A6600"/>
                <w:sz w:val="20"/>
              </w:rPr>
              <w:t>MEDIUM</w:t>
            </w:r>
          </w:p>
        </w:tc>
        <w:tc>
          <w:tcPr>
            <w:tcW w:type="dxa" w:w="633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One real anomaly, or several minor issues worth reviewing.</w:t>
            </w:r>
          </w:p>
        </w:tc>
      </w:tr>
      <w:tr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onsolas" w:hAnsi="Consolas"/>
                <w:color w:val="20242B"/>
                <w:sz w:val="20"/>
              </w:rPr>
              <w:t>30–54</w:t>
            </w:r>
          </w:p>
        </w:tc>
        <w:tc>
          <w:tcPr>
            <w:tcW w:type="dxa" w:w="201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A3480A"/>
                <w:sz w:val="20"/>
              </w:rPr>
              <w:t>HIGH</w:t>
            </w:r>
          </w:p>
        </w:tc>
        <w:tc>
          <w:tcPr>
            <w:tcW w:type="dxa" w:w="633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At least one confirmed network-wide threat, or multiple supporting warning signs.</w:t>
            </w:r>
          </w:p>
        </w:tc>
      </w:tr>
      <w:tr>
        <w:tc>
          <w:tcPr>
            <w:tcW w:type="dxa" w:w="129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onsolas" w:hAnsi="Consolas"/>
                <w:color w:val="20242B"/>
                <w:sz w:val="20"/>
              </w:rPr>
              <w:t>55+</w:t>
            </w:r>
          </w:p>
        </w:tc>
        <w:tc>
          <w:tcPr>
            <w:tcW w:type="dxa" w:w="201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b/>
                <w:color w:val="A3271C"/>
                <w:sz w:val="20"/>
              </w:rPr>
              <w:t>CRITICAL</w:t>
            </w:r>
          </w:p>
        </w:tc>
        <w:tc>
          <w:tcPr>
            <w:tcW w:type="dxa" w:w="6336"/>
            <w:tcBorders>
              <w:bottom w:val="single" w:sz="4" w:color="E8E3DA"/>
            </w:tcBorders>
          </w:tcPr>
          <w:p>
            <w:pPr>
              <w:spacing w:after="60" w:before="60"/>
            </w:pPr>
            <w:r>
              <w:rPr>
                <w:rFonts w:ascii="Calibri" w:hAnsi="Calibri"/>
                <w:color w:val="20242B"/>
                <w:sz w:val="20"/>
              </w:rPr>
              <w:t>A confirmed active threat, most likely more than one.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0242B"/>
          <w:sz w:val="25"/>
        </w:rPr>
        <w:t>The thinking behind it</w:t>
      </w:r>
    </w:p>
    <w:p>
      <w:r>
        <w:rPr>
          <w:rFonts w:ascii="Calibri" w:hAnsi="Calibri"/>
          <w:b w:val="0"/>
          <w:i w:val="0"/>
          <w:color w:val="4A4F58"/>
          <w:sz w:val="21"/>
        </w:rPr>
        <w:t xml:space="preserve">Confirmed, protocol-level threats (such as ARP spoofing or a rogue DHCP server) carry enough weight to raise the network to </w:t>
      </w:r>
      <w:r>
        <w:rPr>
          <w:rFonts w:ascii="Calibri" w:hAnsi="Calibri"/>
          <w:b/>
          <w:i w:val="0"/>
          <w:color w:val="4A4F58"/>
          <w:sz w:val="21"/>
        </w:rPr>
        <w:t>HIGH</w:t>
      </w:r>
      <w:r>
        <w:rPr>
          <w:rFonts w:ascii="Calibri" w:hAnsi="Calibri"/>
          <w:b w:val="0"/>
          <w:i w:val="0"/>
          <w:color w:val="4A4F58"/>
          <w:sz w:val="21"/>
        </w:rPr>
        <w:t xml:space="preserve"> on their own, because these detections do not produce false alarms. Weaker, pattern-based findings are deliberately kept below that threshold: on their own they register as a concern, but they cannot push the whole network to HIGH without a second, corroborating finding. This keeps the assessment honest — quiet when the evidence is thin, and loud only when it counts.</w:t>
      </w:r>
    </w:p>
    <w:p>
      <w:pPr>
        <w:spacing w:before="280" w:after="80"/>
      </w:pPr>
      <w:r>
        <w:rPr>
          <w:rFonts w:ascii="Calibri" w:hAnsi="Calibri"/>
          <w:b/>
          <w:color w:val="20242B"/>
          <w:sz w:val="25"/>
        </w:rPr>
        <w:t>Worked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184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color w:val="20242B"/>
                <w:sz w:val="20"/>
              </w:rPr>
              <w:t>One suspicious beaconing signal</w:t>
            </w:r>
          </w:p>
        </w:tc>
        <w:tc>
          <w:tcPr>
            <w:tcW w:type="dxa" w:w="2448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onsolas" w:hAnsi="Consolas"/>
                <w:color w:val="4A4F58"/>
                <w:sz w:val="20"/>
              </w:rPr>
              <w:t>18</w:t>
            </w:r>
          </w:p>
        </w:tc>
        <w:tc>
          <w:tcPr>
            <w:tcW w:type="dxa" w:w="2016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8A6600"/>
                <w:sz w:val="20"/>
              </w:rPr>
              <w:t>MEDIUM</w:t>
            </w:r>
          </w:p>
        </w:tc>
      </w:tr>
      <w:tr>
        <w:tc>
          <w:tcPr>
            <w:tcW w:type="dxa" w:w="5184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color w:val="20242B"/>
                <w:sz w:val="20"/>
              </w:rPr>
              <w:t>One confirmed ARP spoofing attack</w:t>
            </w:r>
          </w:p>
        </w:tc>
        <w:tc>
          <w:tcPr>
            <w:tcW w:type="dxa" w:w="2448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onsolas" w:hAnsi="Consolas"/>
                <w:color w:val="4A4F58"/>
                <w:sz w:val="20"/>
              </w:rPr>
              <w:t>30</w:t>
            </w:r>
          </w:p>
        </w:tc>
        <w:tc>
          <w:tcPr>
            <w:tcW w:type="dxa" w:w="2016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A3480A"/>
                <w:sz w:val="20"/>
              </w:rPr>
              <w:t>HIGH</w:t>
            </w:r>
          </w:p>
        </w:tc>
      </w:tr>
      <w:tr>
        <w:tc>
          <w:tcPr>
            <w:tcW w:type="dxa" w:w="5184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color w:val="20242B"/>
                <w:sz w:val="20"/>
              </w:rPr>
              <w:t>Confirmed attack + a corroborating finding</w:t>
            </w:r>
          </w:p>
        </w:tc>
        <w:tc>
          <w:tcPr>
            <w:tcW w:type="dxa" w:w="2448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onsolas" w:hAnsi="Consolas"/>
                <w:color w:val="4A4F58"/>
                <w:sz w:val="20"/>
              </w:rPr>
              <w:t>30 + 18 = 48</w:t>
            </w:r>
          </w:p>
        </w:tc>
        <w:tc>
          <w:tcPr>
            <w:tcW w:type="dxa" w:w="2016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A3480A"/>
                <w:sz w:val="20"/>
              </w:rPr>
              <w:t>HIGH</w:t>
            </w:r>
          </w:p>
        </w:tc>
      </w:tr>
      <w:tr>
        <w:tc>
          <w:tcPr>
            <w:tcW w:type="dxa" w:w="5184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color w:val="20242B"/>
                <w:sz w:val="20"/>
              </w:rPr>
              <w:t>Two confirmed high-impact threats</w:t>
            </w:r>
          </w:p>
        </w:tc>
        <w:tc>
          <w:tcPr>
            <w:tcW w:type="dxa" w:w="2448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onsolas" w:hAnsi="Consolas"/>
                <w:color w:val="4A4F58"/>
                <w:sz w:val="20"/>
              </w:rPr>
              <w:t>30 + 22 = 52</w:t>
            </w:r>
          </w:p>
        </w:tc>
        <w:tc>
          <w:tcPr>
            <w:tcW w:type="dxa" w:w="2016"/>
            <w:tcBorders>
              <w:bottom w:val="single" w:sz="4" w:color="E8E3DA"/>
            </w:tcBorders>
            <w:shd w:val="clear" w:fill="FBF9F6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A3271C"/>
                <w:sz w:val="20"/>
              </w:rPr>
              <w:t>CRITICAL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Calibri" w:hAnsi="Calibri"/>
          <w:b/>
          <w:color w:val="C0450A"/>
          <w:sz w:val="18"/>
        </w:rPr>
        <w:t xml:space="preserve">PART 02   </w:t>
      </w:r>
      <w:r>
        <w:rPr>
          <w:rFonts w:ascii="Calibri" w:hAnsi="Calibri"/>
          <w:b/>
          <w:color w:val="767C86"/>
          <w:sz w:val="18"/>
        </w:rPr>
        <w:t>HOW THE ANALYZER DETECTS THREATS</w:t>
      </w:r>
    </w:p>
    <w:p>
      <w:pPr>
        <w:spacing w:after="160" w:before="40"/>
      </w:pPr>
      <w:r>
        <w:rPr>
          <w:rFonts w:ascii="Calibri" w:hAnsi="Calibri"/>
          <w:b/>
          <w:color w:val="20242B"/>
          <w:sz w:val="38"/>
        </w:rPr>
        <w:t>The Patterns Behind Every Finding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A4F58"/>
          <w:sz w:val="21"/>
        </w:rPr>
        <w:t>Every finding comes from patterns computed directly from the captured packets and the active network scan — there is no external threat feed. The engine first dissects each packet down to its protocol fields, then runs a set of detectors, each looking for one specific behavior. Nearly all include a deliberate false-alarm gate so that ordinary home and small-office traffic does not trip them.</w:t>
      </w:r>
    </w:p>
    <w:p>
      <w:pPr>
        <w:spacing w:after="200" w:before="0"/>
      </w:pPr>
      <w:r>
        <w:rPr>
          <w:rFonts w:ascii="Calibri" w:hAnsi="Calibri"/>
          <w:b w:val="0"/>
          <w:i/>
          <w:color w:val="767C86"/>
          <w:sz w:val="19"/>
        </w:rPr>
        <w:t>How to read the tiers below: each detector lists the exact signal it looks for and the threshold or condition that makes it fire.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A3271C"/>
            </w:tcBorders>
            <w:shd w:val="clear" w:fill="FBF9F6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A3271C"/>
                <w:sz w:val="26"/>
              </w:rPr>
              <w:t>Confirmed, Network-Wide Threats</w:t>
            </w:r>
            <w:r>
              <w:rPr>
                <w:rFonts w:ascii="Calibri" w:hAnsi="Calibri"/>
                <w:b/>
                <w:color w:val="A3271C"/>
                <w:sz w:val="16"/>
              </w:rPr>
              <w:t xml:space="preserve">     HIGHEST WEIGHT</w:t>
            </w:r>
          </w:p>
        </w:tc>
      </w:tr>
    </w:tbl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ARP Spoofing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271C"/>
          <w:sz w:val="17"/>
        </w:rPr>
        <w:t>Fires when one IP is claimed by 2 or more MAC addresses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The tool maps each IP to the hardware (MAC) addresses claiming it. On a healthy network, one IP means one MAC. A single IP claimed by two or more MACs is the signature of an attacker impersonating another device to intercept traffic.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Rogue DHCP Server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271C"/>
          <w:sz w:val="17"/>
        </w:rPr>
        <w:t>Fires when 2 or more IPs hand out DHCP leases (port 67 → 68)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network should have exactly one address-handing-out server — the router. If two or more IPs are issuing leases, one is likely an attacker trying to reroute all traffic through a malicious gateway.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DNS Tunneling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271C"/>
          <w:sz w:val="17"/>
        </w:rPr>
        <w:t>Fires on subdomain entropy &gt; 4.0 bits/char across many queries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Data can be smuggled out hidden inside DNS lookup names. The tool measures the randomness of each domain's subdomain text. Human and service names top out near 3.5–3.8; encoded data pushes above 4.0. Length alone is ignored — CDNs legitimately use very long names — and known CDNs are whitelisted.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DNS Rebinding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271C"/>
          <w:sz w:val="17"/>
        </w:rPr>
        <w:t>Fires on a public domain resolving to a private IP with TTL &lt; 60s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public name resolving to an internal address with a very short lifetime is the fingerprint of an attack that tricks a browser into reaching internal devices. Legitimate cases (e.g. Plex) are excluded.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A3480A"/>
            </w:tcBorders>
            <w:shd w:val="clear" w:fill="FBF9F6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A3480A"/>
                <w:sz w:val="26"/>
              </w:rPr>
              <w:t>Confirmed, Device or Data Threats</w:t>
            </w:r>
            <w:r>
              <w:rPr>
                <w:rFonts w:ascii="Calibri" w:hAnsi="Calibri"/>
                <w:b/>
                <w:color w:val="A3480A"/>
                <w:sz w:val="16"/>
              </w:rPr>
              <w:t xml:space="preserve">     HIGH WEIGHT</w:t>
            </w:r>
          </w:p>
        </w:tc>
      </w:tr>
    </w:tbl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Data Exfiltration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480A"/>
          <w:sz w:val="17"/>
        </w:rPr>
        <w:t>Fires above 50 MB per transfer, or a sustained 20 MB/s, to non-cloud hosts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The tool totals outbound data per connection. Transfers to known cloud/CDN ranges (iCloud, OneDrive, Dropbox, Google, AWS…) are suppressed, since for this audience a large upload is almost always a legitimate backup or sync.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Known C2 / Malicious Domain</w:t>
      </w:r>
    </w:p>
    <w:p>
      <w:pPr>
        <w:spacing w:before="0" w:after="20"/>
        <w:ind w:left="173"/>
      </w:pPr>
      <w:r>
        <w:rPr>
          <w:rFonts w:ascii="Consolas" w:hAnsi="Consolas"/>
          <w:b/>
          <w:color w:val="A3480A"/>
          <w:sz w:val="17"/>
        </w:rPr>
        <w:t>Fires on a match to abused dynamic-DNS providers, Tor, or DGA patterns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DNS queries are matched against a built-in list of dynamic-DNS providers heavily abused by malware (DuckDNS, No-IP, hopto.org…) and Tor markers. A separate detector flags algorithm-generated domains, requiring both high consonant density and high entropy — the pattern of names like kq3vzjxwbf.com.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8A6600"/>
            </w:tcBorders>
            <w:shd w:val="clear" w:fill="FBF9F6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8A6600"/>
                <w:sz w:val="26"/>
              </w:rPr>
              <w:t>Strong Warning Signs</w:t>
            </w:r>
            <w:r>
              <w:rPr>
                <w:rFonts w:ascii="Calibri" w:hAnsi="Calibri"/>
                <w:b/>
                <w:color w:val="8A6600"/>
                <w:sz w:val="16"/>
              </w:rPr>
              <w:t xml:space="preserve">     PATTERN-BASED · NEED CORROBORATION</w:t>
            </w:r>
          </w:p>
        </w:tc>
      </w:tr>
    </w:tbl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C2 Beaconing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8A6600"/>
          <w:sz w:val="17"/>
        </w:rPr>
        <w:t>Fires when connection intervals are highly regular (variation &lt; 0.35)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Malware phones home on a timer. The tool measures how regular each destination's connection intervals are; machine-like regularity indicates beaconing, not human activity. Cloud and push destinations are suppressed because legitimate agents beacon even more regularly.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SMB Lateral Movement</w:t>
      </w:r>
    </w:p>
    <w:p>
      <w:pPr>
        <w:spacing w:before="0" w:after="20"/>
        <w:ind w:left="173"/>
      </w:pPr>
      <w:r>
        <w:rPr>
          <w:rFonts w:ascii="Consolas" w:hAnsi="Consolas"/>
          <w:b/>
          <w:color w:val="8A6600"/>
          <w:sz w:val="17"/>
        </w:rPr>
        <w:t>Fires when one host contacts 10+ internal hosts over port 445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Ransomware and worms spread over file-sharing. The tool counts distinct internal hosts each device reaches on SMB — high enough to spare a backup server or NAS, low enough to catch aggressive spread.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LLMNR / NBT-NS Poisoning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8A6600"/>
          <w:sz w:val="17"/>
        </w:rPr>
        <w:t>Fires when one IP sends 20+ name-resolution responses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Credential-harvesting tools flood Windows name-resolution replies to trick machines into leaking password hashes. Normal hosts send only a handful; 20 or more from one source is flagged.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Hostname Identity Mismatch</w:t>
      </w:r>
    </w:p>
    <w:p>
      <w:pPr>
        <w:spacing w:before="0" w:after="20"/>
        <w:ind w:left="173"/>
      </w:pPr>
      <w:r>
        <w:rPr>
          <w:rFonts w:ascii="Consolas" w:hAnsi="Consolas"/>
          <w:b/>
          <w:color w:val="8A6600"/>
          <w:sz w:val="17"/>
        </w:rPr>
        <w:t>Fires when scan and capture report clearly different hostnames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cross-check between the two data sources. If the active scan and the passive capture report clearly different names for the same device, the contradiction can indicate spoofing or a hijacked identity.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ICMP Tunneling</w:t>
      </w:r>
    </w:p>
    <w:p>
      <w:pPr>
        <w:spacing w:before="0" w:after="20"/>
        <w:ind w:left="173"/>
      </w:pPr>
      <w:r>
        <w:rPr>
          <w:rFonts w:ascii="Consolas" w:hAnsi="Consolas"/>
          <w:b/>
          <w:color w:val="8A6600"/>
          <w:sz w:val="17"/>
        </w:rPr>
        <w:t>Fires on 10+ ping packets with payloads over 512 bytes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Normal ping payloads are 32–56 bytes. A source sending many oversized ICMP packets is likely smuggling data or command traffic inside ping.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245A8F"/>
            </w:tcBorders>
            <w:shd w:val="clear" w:fill="FBF9F6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45A8F"/>
                <w:sz w:val="26"/>
              </w:rPr>
              <w:t>Observed Anomalies</w:t>
            </w:r>
            <w:r>
              <w:rPr>
                <w:rFonts w:ascii="Calibri" w:hAnsi="Calibri"/>
                <w:b/>
                <w:color w:val="245A8F"/>
                <w:sz w:val="16"/>
              </w:rPr>
              <w:t xml:space="preserve">     LOWER WEIGHT</w:t>
            </w:r>
          </w:p>
        </w:tc>
      </w:tr>
    </w:tbl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Suspicious Ports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on traffic to known attack-tool / backdoor ports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Ports tied to attack tools and backdoors — 4444 (Metasploit), 31337 (Back Orifice), 5555 (Android ADB), Tor ports and others — trigger one alert each. Ports used by legitimate dev tools were deliberately removed.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Port Scan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when one device contacts 70+ unique service ports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Counts distinct destination ports each initiator contacts; a high count signals reconnaissance. Routers, gateways, and the tool's own authorized scanner are excluded.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Shadow Infrastructure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on 50 KB+ of external traffic from a device the scan never saw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device clearly active in the capture and reaching external services, yet invisible to the active scan. Often just a device that ignores ping, but worth confirming it is sanctioned.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Cleartext Protocols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on FTP, Telnet, LDAP, IMAP, POP3, SNMP, or HTTP POST logins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Detects unencrypted protocols that expose credentials, by port and by parsed protocol. FTP, Telnet and LDAP are high severity; the rest medium.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NTP Amplification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when an internal host sends 5 MB+ of NTP responses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An internal device serving a large volume of NTP replies may be an unwitting reflector in a DDoS attack. The floor spares routers that serve time to the whole LAN.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Deprecated TLS</w:t>
      </w:r>
    </w:p>
    <w:p>
      <w:pPr>
        <w:spacing w:before="0" w:after="20"/>
        <w:ind w:left="173"/>
      </w:pPr>
      <w:r>
        <w:rPr>
          <w:rFonts w:ascii="Consolas" w:hAnsi="Consolas"/>
          <w:b/>
          <w:color w:val="245A8F"/>
          <w:sz w:val="17"/>
        </w:rPr>
        <w:t>Fires only on a negotiated TLS 1.0 / 1.1 or SSL session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Flags a connection only when the encryption version the two ends actually agreed to use is obsolete — ignoring the misleading legacy handshake byte that would otherwise mislabel modern HTTPS.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left w:val="single" w:sz="24" w:color="767C86"/>
            </w:tcBorders>
            <w:shd w:val="clear" w:fill="FBF9F6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67C86"/>
                <w:sz w:val="26"/>
              </w:rPr>
              <w:t>Informational Only</w:t>
            </w:r>
            <w:r>
              <w:rPr>
                <w:rFonts w:ascii="Calibri" w:hAnsi="Calibri"/>
                <w:b/>
                <w:color w:val="767C86"/>
                <w:sz w:val="16"/>
              </w:rPr>
              <w:t xml:space="preserve">     NO SCORE IMPACT</w:t>
            </w:r>
          </w:p>
        </w:tc>
      </w:tr>
    </w:tbl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Unknown Device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device with a generic hardware vendor and no identifiable hostname. Worth confirming it belongs on the network.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MAC Privacy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 device using a randomized (locally-administered) MAC address — typically a phone or laptop with privacy mode on. Benign.</w:t>
      </w:r>
    </w:p>
    <w:p>
      <w:pPr>
        <w:spacing w:before="160" w:after="20"/>
        <w:ind w:left="173"/>
      </w:pPr>
      <w:r>
        <w:rPr>
          <w:rFonts w:ascii="Calibri" w:hAnsi="Calibri"/>
          <w:b/>
          <w:color w:val="20242B"/>
          <w:sz w:val="22"/>
        </w:rPr>
        <w:t>Ghost Device</w:t>
      </w:r>
    </w:p>
    <w:p>
      <w:pPr>
        <w:spacing w:before="0" w:after="60"/>
        <w:ind w:left="173"/>
      </w:pPr>
      <w:r>
        <w:rPr>
          <w:rFonts w:ascii="Calibri" w:hAnsi="Calibri"/>
          <w:color w:val="4A4F58"/>
          <w:sz w:val="20"/>
        </w:rPr>
        <w:t>Answered the active ping scan but sent no traffic during the capture. Normal on a typical LAN, where the capture point cannot see every device's private traffic.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0242B"/>
          <w:sz w:val="21"/>
        </w:rPr>
      </w:r>
    </w:p>
    <w:p>
      <w:r>
        <w:br w:type="page"/>
      </w:r>
    </w:p>
    <w:p>
      <w:pPr>
        <w:spacing w:before="280" w:after="40"/>
      </w:pPr>
      <w:r>
        <w:rPr>
          <w:rFonts w:ascii="Calibri" w:hAnsi="Calibri"/>
          <w:b/>
          <w:color w:val="C0450A"/>
          <w:sz w:val="18"/>
        </w:rPr>
        <w:t xml:space="preserve">PART 03   </w:t>
      </w:r>
      <w:r>
        <w:rPr>
          <w:rFonts w:ascii="Calibri" w:hAnsi="Calibri"/>
          <w:b/>
          <w:color w:val="767C86"/>
          <w:sz w:val="18"/>
        </w:rPr>
        <w:t>DESIGN PRINCIPLES</w:t>
      </w:r>
    </w:p>
    <w:p>
      <w:pPr>
        <w:spacing w:after="160" w:before="40"/>
      </w:pPr>
      <w:r>
        <w:rPr>
          <w:rFonts w:ascii="Calibri" w:hAnsi="Calibri"/>
          <w:b/>
          <w:color w:val="20242B"/>
          <w:sz w:val="38"/>
        </w:rPr>
        <w:t>Why It Behaves This Way</w:t>
      </w:r>
    </w:p>
    <w:p>
      <w:pPr>
        <w:spacing w:before="200" w:after="40"/>
      </w:pPr>
      <w:r>
        <w:rPr>
          <w:rFonts w:ascii="Consolas" w:hAnsi="Consolas"/>
          <w:b/>
          <w:color w:val="C0450A"/>
          <w:sz w:val="20"/>
        </w:rPr>
        <w:t xml:space="preserve">01   </w:t>
      </w:r>
      <w:r>
        <w:rPr>
          <w:rFonts w:ascii="Calibri" w:hAnsi="Calibri"/>
          <w:b/>
          <w:color w:val="20242B"/>
          <w:sz w:val="24"/>
        </w:rPr>
        <w:t>Confidence over volume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A4F58"/>
          <w:sz w:val="21"/>
        </w:rPr>
        <w:t>Protocol-confirmed attacks fire on hard evidence and can escalate on their own. Pattern-based findings are gated with thresholds and whitelists so they never over-trigger on ordinary traffic.</w:t>
      </w:r>
    </w:p>
    <w:p>
      <w:pPr>
        <w:spacing w:before="200" w:after="40"/>
      </w:pPr>
      <w:r>
        <w:rPr>
          <w:rFonts w:ascii="Consolas" w:hAnsi="Consolas"/>
          <w:b/>
          <w:color w:val="C0450A"/>
          <w:sz w:val="20"/>
        </w:rPr>
        <w:t xml:space="preserve">02   </w:t>
      </w:r>
      <w:r>
        <w:rPr>
          <w:rFonts w:ascii="Calibri" w:hAnsi="Calibri"/>
          <w:b/>
          <w:color w:val="20242B"/>
          <w:sz w:val="24"/>
        </w:rPr>
        <w:t>Built for real networks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A4F58"/>
          <w:sz w:val="21"/>
        </w:rPr>
        <w:t>Every detector knows what normal small-office and home traffic looks like — cloud backups, push notifications, RMM agents, privacy MACs — and suppresses it, so an alert means something genuinely stands out.</w:t>
      </w:r>
    </w:p>
    <w:p>
      <w:pPr>
        <w:spacing w:before="200" w:after="40"/>
      </w:pPr>
      <w:r>
        <w:rPr>
          <w:rFonts w:ascii="Consolas" w:hAnsi="Consolas"/>
          <w:b/>
          <w:color w:val="C0450A"/>
          <w:sz w:val="20"/>
        </w:rPr>
        <w:t xml:space="preserve">03   </w:t>
      </w:r>
      <w:r>
        <w:rPr>
          <w:rFonts w:ascii="Calibri" w:hAnsi="Calibri"/>
          <w:b/>
          <w:color w:val="20242B"/>
          <w:sz w:val="24"/>
        </w:rPr>
        <w:t>De-duplicated by design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4A4F58"/>
          <w:sz w:val="21"/>
        </w:rPr>
        <w:t>Each threat type is scored once. The report tells you which categories of problem exist and how serious they are — not an inflated tally of repeated symptoms.</w:t>
      </w:r>
    </w:p>
    <w:p>
      <w:pPr>
        <w:spacing w:before="360" w:after="120"/>
        <w:pBdr>
          <w:bottom w:val="single" w:sz="6" w:color="D9D4CB"/>
        </w:pBdr>
      </w:pPr>
    </w:p>
    <w:p>
      <w:r>
        <w:rPr>
          <w:rFonts w:ascii="Calibri" w:hAnsi="Calibri"/>
          <w:b w:val="0"/>
          <w:i w:val="0"/>
          <w:color w:val="767C86"/>
          <w:sz w:val="17"/>
        </w:rPr>
        <w:t>NerdsToGo · Network Assessment Tool — Methodology Reference</w:t>
      </w:r>
    </w:p>
    <w:p>
      <w:r>
        <w:rPr>
          <w:rFonts w:ascii="Calibri" w:hAnsi="Calibri"/>
          <w:b w:val="0"/>
          <w:i w:val="0"/>
          <w:color w:val="767C86"/>
          <w:sz w:val="17"/>
        </w:rPr>
        <w:t>Scoring logic: type-weighted, de-duplicated, capped at 100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