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Общая картина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Выручка падает не первый год: 2023 → 2024 (320М) были на одном уровне, а вот 2025 — уже −13% (280М), и 2026 идёт ещё хуже: январь–июль −16% год к году. А август 2026 (данные по 10 августа) проваливается сильнее всего — 5,5М против 7,6М за те же 10 дней 2025-го, это −27%. То есть спад не просто продолжается, он ускоряется именно сейчас.</w:t>
      </w:r>
    </w:p>
    <w:p>
      <w:pPr>
        <w:pStyle w:val="Heading2"/>
        <w:bidi w:val="0"/>
        <w:jc w:val="start"/>
        <w:rPr/>
      </w:pPr>
      <w:r>
        <w:rPr/>
        <w:t>Инсайт №1: цена растёт быстрее, чем падают продажи могут это компенсировать</w:t>
      </w:r>
    </w:p>
    <w:p>
      <w:pPr>
        <w:pStyle w:val="BodyText"/>
        <w:bidi w:val="0"/>
        <w:jc w:val="start"/>
        <w:rPr/>
      </w:pPr>
      <w:r>
        <w:rPr/>
        <w:t>Средняя цена за единицу выросла с 177 ₽ (2023) до 217 ₽ (2026 YTD) — это +22% за 2,5 года. При этом объём продаж (в натуральном выражении) упал с 1,81 млн ед. в 2023 году до годового темпа примерно 1,1–1,15 млн ед. сейчас — это уже −35–40%. Наценка (маржа) тоже выросла: с 21,9% выручки в 2023–2024 до 24,3% в 2026 YTD. Классическая ловушка: розница продолжает поднимать цену/наценку, чтобы удержать выручку, но объём падает быстрее, чем растёт цена — в итоге теряют оба показателя.</w:t>
      </w:r>
    </w:p>
    <w:p>
      <w:pPr>
        <w:pStyle w:val="BodyText"/>
        <w:bidi w:val="0"/>
        <w:jc w:val="start"/>
        <w:rPr/>
      </w:pPr>
      <w:r>
        <w:rPr/>
        <w:t xml:space="preserve">Хуже всего это видно в группе </w:t>
      </w:r>
      <w:r>
        <w:rPr>
          <w:rStyle w:val="Strong"/>
        </w:rPr>
        <w:t>Ветчина</w:t>
      </w:r>
      <w:r>
        <w:rPr/>
        <w:t>: маржа выросла с 21,8% до 24,5% (+2,7 п.п. за год) — и это ровно та группа, которая просела сильнее всех, −37% год к году.</w:t>
      </w:r>
    </w:p>
    <w:p>
      <w:pPr>
        <w:pStyle w:val="Heading2"/>
        <w:bidi w:val="0"/>
        <w:jc w:val="start"/>
        <w:rPr/>
      </w:pPr>
      <w:r>
        <w:rPr/>
        <w:t>Инсайт №2: не все группы падают одинаково</w:t>
      </w:r>
    </w:p>
    <w:p>
      <w:pPr>
        <w:pStyle w:val="BodyText"/>
        <w:bidi w:val="0"/>
        <w:jc w:val="start"/>
        <w:rPr/>
      </w:pPr>
      <w:r>
        <w:rPr/>
        <w:t>Продажи янв–июл, % изменения 2025→2026:</w:t>
      </w:r>
    </w:p>
    <w:tbl>
      <w:tblPr>
        <w:tblW w:w="67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20"/>
        <w:gridCol w:w="1718"/>
        <w:gridCol w:w="1001"/>
      </w:tblGrid>
      <w:tr>
        <w:trPr>
          <w:tblHeader w:val="true"/>
        </w:trPr>
        <w:tc>
          <w:tcPr>
            <w:tcW w:w="4020" w:type="dxa"/>
            <w:tcBorders/>
            <w:vAlign w:val="center"/>
          </w:tcPr>
          <w:p>
            <w:pPr>
              <w:pStyle w:val="Style17"/>
              <w:suppressLineNumbers/>
              <w:bidi w:val="0"/>
              <w:jc w:val="center"/>
              <w:rPr/>
            </w:pPr>
            <w:r>
              <w:rPr/>
              <w:t>Группа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Style17"/>
              <w:suppressLineNumbers/>
              <w:bidi w:val="0"/>
              <w:jc w:val="center"/>
              <w:rPr/>
            </w:pPr>
            <w:r>
              <w:rPr/>
              <w:t>2026 (янв–июл)</w:t>
            </w:r>
          </w:p>
        </w:tc>
        <w:tc>
          <w:tcPr>
            <w:tcW w:w="1001" w:type="dxa"/>
            <w:tcBorders/>
            <w:vAlign w:val="center"/>
          </w:tcPr>
          <w:p>
            <w:pPr>
              <w:pStyle w:val="Style17"/>
              <w:suppressLineNumbers/>
              <w:bidi w:val="0"/>
              <w:jc w:val="center"/>
              <w:rPr/>
            </w:pPr>
            <w:r>
              <w:rPr/>
              <w:t>Δ к 2025</w:t>
            </w:r>
          </w:p>
        </w:tc>
      </w:tr>
      <w:tr>
        <w:trPr/>
        <w:tc>
          <w:tcPr>
            <w:tcW w:w="402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Ветчина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7,2М</w:t>
            </w:r>
          </w:p>
        </w:tc>
        <w:tc>
          <w:tcPr>
            <w:tcW w:w="10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−</w:t>
            </w:r>
            <w:r>
              <w:rPr>
                <w:rStyle w:val="Strong"/>
              </w:rPr>
              <w:t>37%</w:t>
            </w:r>
          </w:p>
        </w:tc>
      </w:tr>
      <w:tr>
        <w:trPr/>
        <w:tc>
          <w:tcPr>
            <w:tcW w:w="402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Колбаса сырокопчёная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14,3М</w:t>
            </w:r>
          </w:p>
        </w:tc>
        <w:tc>
          <w:tcPr>
            <w:tcW w:w="10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−</w:t>
            </w:r>
            <w:r>
              <w:rPr/>
              <w:t>25%</w:t>
            </w:r>
          </w:p>
        </w:tc>
      </w:tr>
      <w:tr>
        <w:trPr/>
        <w:tc>
          <w:tcPr>
            <w:tcW w:w="402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Колбаса варёнокопчёная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28,9М</w:t>
            </w:r>
          </w:p>
        </w:tc>
        <w:tc>
          <w:tcPr>
            <w:tcW w:w="10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−</w:t>
            </w:r>
            <w:r>
              <w:rPr/>
              <w:t>18%</w:t>
            </w:r>
          </w:p>
        </w:tc>
      </w:tr>
      <w:tr>
        <w:trPr/>
        <w:tc>
          <w:tcPr>
            <w:tcW w:w="402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Сосиски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29,7М</w:t>
            </w:r>
          </w:p>
        </w:tc>
        <w:tc>
          <w:tcPr>
            <w:tcW w:w="10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−</w:t>
            </w:r>
            <w:r>
              <w:rPr/>
              <w:t>16%</w:t>
            </w:r>
          </w:p>
        </w:tc>
      </w:tr>
      <w:tr>
        <w:trPr/>
        <w:tc>
          <w:tcPr>
            <w:tcW w:w="402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Колбаса полукопчёная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8,9М</w:t>
            </w:r>
          </w:p>
        </w:tc>
        <w:tc>
          <w:tcPr>
            <w:tcW w:w="10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−</w:t>
            </w:r>
            <w:r>
              <w:rPr/>
              <w:t>15%</w:t>
            </w:r>
          </w:p>
        </w:tc>
      </w:tr>
      <w:tr>
        <w:trPr/>
        <w:tc>
          <w:tcPr>
            <w:tcW w:w="402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Колбаса варёная (крупнейшая группа)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41,3М</w:t>
            </w:r>
          </w:p>
        </w:tc>
        <w:tc>
          <w:tcPr>
            <w:tcW w:w="10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−</w:t>
            </w:r>
            <w:r>
              <w:rPr/>
              <w:t>14%</w:t>
            </w:r>
          </w:p>
        </w:tc>
      </w:tr>
      <w:tr>
        <w:trPr/>
        <w:tc>
          <w:tcPr>
            <w:tcW w:w="402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Сардельки, шпикачки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7,6М</w:t>
            </w:r>
          </w:p>
        </w:tc>
        <w:tc>
          <w:tcPr>
            <w:tcW w:w="10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−</w:t>
            </w:r>
            <w:r>
              <w:rPr>
                <w:rStyle w:val="Strong"/>
              </w:rPr>
              <w:t>8%</w:t>
            </w:r>
          </w:p>
        </w:tc>
      </w:tr>
    </w:tbl>
    <w:p>
      <w:pPr>
        <w:pStyle w:val="BodyText"/>
        <w:bidi w:val="0"/>
        <w:jc w:val="start"/>
        <w:rPr/>
      </w:pPr>
      <w:r>
        <w:rPr/>
        <w:t>Сардельки/шпикачки — самая устойчивая категория. Это дешёвый, понятный продукт для быстрого перекуса — похоже, именно он меньше всего пострадал от роста цен.</w:t>
      </w:r>
    </w:p>
    <w:p>
      <w:pPr>
        <w:pStyle w:val="Heading2"/>
        <w:bidi w:val="0"/>
        <w:jc w:val="start"/>
        <w:rPr/>
      </w:pPr>
      <w:r>
        <w:rPr/>
        <w:t>Инсайт №3: на уровне брендов картина ещё резче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СПК</w:t>
      </w:r>
      <w:r>
        <w:rPr/>
        <w:t xml:space="preserve"> (27% продаж категории) — крупнейший бренд, но −17% год к году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СИБАГРО</w:t>
      </w:r>
      <w:r>
        <w:rPr/>
        <w:t xml:space="preserve"> −40%, </w:t>
      </w:r>
      <w:r>
        <w:rPr>
          <w:rStyle w:val="Strong"/>
        </w:rPr>
        <w:t>МИРАТОРГ</w:t>
      </w:r>
      <w:r>
        <w:rPr/>
        <w:t xml:space="preserve"> −41%, </w:t>
      </w:r>
      <w:r>
        <w:rPr>
          <w:rStyle w:val="Strong"/>
        </w:rPr>
        <w:t>ОМСКИЙ</w:t>
      </w:r>
      <w:r>
        <w:rPr/>
        <w:t xml:space="preserve"> −23% — сильные просадки у крупных федеральных брендов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А вот </w:t>
      </w:r>
      <w:r>
        <w:rPr>
          <w:rStyle w:val="Strong"/>
        </w:rPr>
        <w:t>Стародворье</w:t>
      </w:r>
      <w:r>
        <w:rPr/>
        <w:t xml:space="preserve"> +21%, </w:t>
      </w:r>
      <w:r>
        <w:rPr>
          <w:rStyle w:val="Strong"/>
        </w:rPr>
        <w:t>Сибирская широта</w:t>
      </w:r>
      <w:r>
        <w:rPr/>
        <w:t xml:space="preserve"> +52%, </w:t>
      </w:r>
      <w:r>
        <w:rPr>
          <w:rStyle w:val="Strong"/>
        </w:rPr>
        <w:t>Обской</w:t>
      </w:r>
      <w:r>
        <w:rPr/>
        <w:t xml:space="preserve"> +11%, </w:t>
      </w:r>
      <w:r>
        <w:rPr>
          <w:rStyle w:val="Strong"/>
        </w:rPr>
        <w:t>Брюкке</w:t>
      </w:r>
      <w:r>
        <w:rPr/>
        <w:t xml:space="preserve"> +1% — растут на фоне общего падения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Появился новый бренд </w:t>
      </w:r>
      <w:r>
        <w:rPr>
          <w:rStyle w:val="Strong"/>
        </w:rPr>
        <w:t>Барский</w:t>
      </w:r>
      <w:r>
        <w:rPr/>
        <w:t xml:space="preserve"> — с нуля до 2,4М за 7 месяцев, уже 2% категории </w:t>
      </w:r>
    </w:p>
    <w:p>
      <w:pPr>
        <w:pStyle w:val="BodyText"/>
        <w:bidi w:val="0"/>
        <w:jc w:val="start"/>
        <w:rPr/>
      </w:pPr>
      <w:r>
        <w:rPr/>
        <w:t>Это значит, что рынок не сжимается равномерно — покупатель уходит от одних брендов к другим, скорее всего более доступным по цене или с более активной промо-поддержкой.</w:t>
      </w:r>
    </w:p>
    <w:p>
      <w:pPr>
        <w:pStyle w:val="Heading2"/>
        <w:bidi w:val="0"/>
        <w:jc w:val="start"/>
        <w:rPr/>
      </w:pPr>
      <w:r>
        <w:rPr/>
        <w:t>Инсайт №4: сильная ротация ассортимента</w:t>
      </w:r>
    </w:p>
    <w:p>
      <w:pPr>
        <w:pStyle w:val="BodyText"/>
        <w:bidi w:val="0"/>
        <w:jc w:val="start"/>
        <w:rPr/>
      </w:pPr>
      <w:r>
        <w:rPr/>
        <w:t>За год из матрицы выбыло 70 SKU, добавилось 61. Некоторые позиции обвалились почти до нуля в середине периода (например, «Колбаса СМП Новониколаевская с/к» — с 1,3М до 400 ₽, «Колбаса СМП Пармская» — аналогично) — похоже на выведенные из матрицы или снятые с производства товары, которые тянут статистику вниз, хотя это не «органическое» падение спроса.</w:t>
      </w:r>
    </w:p>
    <w:p>
      <w:pPr>
        <w:pStyle w:val="Heading2"/>
        <w:bidi w:val="0"/>
        <w:jc w:val="start"/>
        <w:rPr/>
      </w:pPr>
      <w:r>
        <w:rPr/>
        <w:t>Инсайт №5: паттерн по дням недели</w:t>
      </w:r>
    </w:p>
    <w:p>
      <w:pPr>
        <w:pStyle w:val="BodyText"/>
        <w:bidi w:val="0"/>
        <w:jc w:val="start"/>
        <w:rPr/>
      </w:pPr>
      <w:r>
        <w:rPr/>
        <w:t>Индекс продаж по дням (последние 12 мес.): пятница 117, четверг 113, суббота 104 — пик. Вторник 90, среда 89, воскресенье 89 — провал. Классический недогруз в середине недели и по воскресеньям — потенциал для точечных промо.</w:t>
      </w:r>
    </w:p>
    <w:p>
      <w:pPr>
        <w:pStyle w:val="Style18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Что делать до конца года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Пересмотреть ценовую политику в самых уязвимых группах.</w:t>
      </w:r>
      <w:r>
        <w:rPr/>
        <w:t xml:space="preserve"> Ветчина и сырокопчёная колбаса потеряли объём сильнее всего именно там, где наценка росла быстрее всего. Точечное снижение или заморозка наценки на 2–3 ключевых SKU в этих группах может вернуть объём быстрее, чем принесёт рост цены на оставшихся.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Сделать ставку на растущие бренды и категории.</w:t>
      </w:r>
      <w:r>
        <w:rPr/>
        <w:t xml:space="preserve"> Сардельки/шпикачки и такие бренды, как Стародворье и Сибирская широта, растут не просто так — это либо цена, либо вкусовое предложение попадает в спрос сейчас. Увеличить полку/промо-поддержку именно там, а не пытаться "тащить" падающие федеральные бренды.</w:t>
      </w:r>
    </w:p>
    <w:p>
      <w:pPr>
        <w:pStyle w:val="BodyText"/>
        <w:bidi w:val="0"/>
        <w:jc w:val="start"/>
        <w:rPr/>
      </w:pPr>
      <w:r>
        <w:rPr>
          <w:rStyle w:val="Strong"/>
        </w:rPr>
        <w:t>3. Разобраться с обвалившимися SKU.</w:t>
      </w:r>
      <w:r>
        <w:rPr/>
        <w:t xml:space="preserve"> Позиции, упавшие почти до нуля в середине года (Новониколаевская, Пармская и т.п.) — либо снять их из отчётности как некорректно "тянущие" тренд вниз, либо, если это управляемое решение, заменить на аналог активнее продвигаемых брендов.</w:t>
      </w:r>
    </w:p>
    <w:p>
      <w:pPr>
        <w:pStyle w:val="BodyText"/>
        <w:bidi w:val="0"/>
        <w:jc w:val="start"/>
        <w:rPr/>
      </w:pPr>
      <w:r>
        <w:rPr>
          <w:rStyle w:val="Strong"/>
        </w:rPr>
        <w:t>4. Декабрь — стабильно самый сильный месяц</w:t>
      </w:r>
      <w:r>
        <w:rPr/>
        <w:t xml:space="preserve"> (27–34М против ~20М в обычный месяц каждый год) за счёт новогоднего спроса. Готовить промо-план и достаточный запас к декабрю заранее — это единственный месяц, который исторически может компенсировать значительную часть годового отставания.</w:t>
      </w:r>
    </w:p>
    <w:p>
      <w:pPr>
        <w:pStyle w:val="BodyText"/>
        <w:bidi w:val="0"/>
        <w:jc w:val="start"/>
        <w:rPr/>
      </w:pPr>
      <w:r>
        <w:rPr>
          <w:rStyle w:val="Strong"/>
        </w:rPr>
        <w:t>5. Точечные промо по средам/воскресеньям</w:t>
      </w:r>
      <w:r>
        <w:rPr/>
        <w:t>, где трафик проседает на 10-11% ниже среднего — недорогой способ подтянуть объём без падения средней цены по неделе в целом.</w:t>
      </w:r>
    </w:p>
    <w:p>
      <w:pPr>
        <w:pStyle w:val="BodyText"/>
        <w:bidi w:val="0"/>
        <w:jc w:val="start"/>
        <w:rPr/>
      </w:pPr>
      <w:r>
        <w:rPr>
          <w:rStyle w:val="Strong"/>
        </w:rPr>
        <w:t>6. Разобраться, что именно произошло в начале августа 2026</w:t>
      </w:r>
      <w:r>
        <w:rPr/>
        <w:t xml:space="preserve"> — падение −27% к прошлому году за первые 10 дней сильно выбивается из тренда −14…−16% предыдущих месяцев. Это может быть как разовый сбой (задержка поставки, временное отсутствие ключевых SKU), так и начало нового витка снижения — стоит проверить отдельно по дням и по конкретным позициям.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ongti SC" w:cs="Arial Unicode M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Songti SC" w:cs="Arial Unicode MS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Arial Unicode M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ascii="Calibri" w:hAnsi="Calibri" w:cs="Arial Unicode MS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Style18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LibreOffice/26.2.5.2$MacOSX_AARCH64 LibreOffice_project/cd7284b4cbbfeb507e630c1aac019f4157393acb</Application>
  <AppVersion>15.0000</AppVersion>
  <Pages>3</Pages>
  <Words>694</Words>
  <Characters>3805</Characters>
  <CharactersWithSpaces>4468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2026-08-18T16:56:34Z</dcterms:created>
  <dc:creator/>
  <dc:description/>
  <dc:language>ru-RU</dc:language>
  <cp:lastModifiedBy/>
  <dcterms:modified xsi:type="dcterms:W3CDTF">2026-08-18T16:59:22Z</dcterms:modified>
  <cp:revision>1</cp:revision>
  <dc:subject/>
  <dc:title/>
</cp:coreProperties>
</file>