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001">
      <w:pPr>
        <w:spacing w:after="160" w:before="2400" w:lineRule="auto"/>
        <w:jc w:val="center"/>
        <w:rPr/>
      </w:pPr>
      <w:r w:rsidDel="00000000" w:rsidR="00000000" w:rsidRPr="00000000">
        <w:rPr>
          <w:rFonts w:ascii="Calibri" w:cs="Calibri" w:eastAsia="Calibri" w:hAnsi="Calibri"/>
          <w:b w:val="1"/>
          <w:bCs w:val="1"/>
          <w:i w:val="0"/>
          <w:iCs w:val="0"/>
          <w:color w:val="000000"/>
          <w:sz w:val="40"/>
          <w:szCs w:val="40"/>
          <w:rtl w:val="0"/>
        </w:rPr>
        <w:t xml:space="preserve">Diagrama de casos de uso general</w:t>
      </w:r>
      <w:r w:rsidDel="00000000" w:rsidR="00000000" w:rsidRPr="00000000">
        <w:rPr>
          <w:rtl w:val="0"/>
        </w:rPr>
      </w:r>
    </w:p>
    <w:p w:rsidR="00000000" w:rsidDel="00000000" w:rsidP="00000000" w:rsidRDefault="00000000" w:rsidRPr="00000000" w14:paraId="00001002">
      <w:pPr>
        <w:spacing w:after="100" w:lineRule="auto"/>
        <w:jc w:val="center"/>
        <w:rPr/>
      </w:pPr>
      <w:r w:rsidDel="00000000" w:rsidR="00000000" w:rsidRPr="00000000">
        <w:rPr>
          <w:rFonts w:ascii="Calibri" w:cs="Calibri" w:eastAsia="Calibri" w:hAnsi="Calibri"/>
          <w:b w:val="1"/>
          <w:bCs w:val="1"/>
          <w:i w:val="0"/>
          <w:iCs w:val="0"/>
          <w:color w:val="000000"/>
          <w:sz w:val="26"/>
          <w:szCs w:val="26"/>
          <w:rtl w:val="0"/>
        </w:rPr>
        <w:t xml:space="preserve">Actores, límite del sistema y trazabilidad con los objetivos</w:t>
      </w:r>
      <w:r w:rsidDel="00000000" w:rsidR="00000000" w:rsidRPr="00000000">
        <w:rPr>
          <w:rtl w:val="0"/>
        </w:rPr>
      </w:r>
    </w:p>
    <w:p w:rsidR="00000000" w:rsidDel="00000000" w:rsidP="00000000" w:rsidRDefault="00000000" w:rsidRPr="00000000" w14:paraId="00001003">
      <w:pPr>
        <w:spacing w:after="420" w:lineRule="auto"/>
        <w:jc w:val="center"/>
        <w:rPr/>
      </w:pPr>
      <w:r w:rsidDel="00000000" w:rsidR="00000000" w:rsidRPr="00000000">
        <w:rPr>
          <w:rFonts w:ascii="Calibri" w:cs="Calibri" w:eastAsia="Calibri" w:hAnsi="Calibri"/>
          <w:b w:val="1"/>
          <w:bCs w:val="1"/>
          <w:i w:val="1"/>
          <w:iCs w:val="1"/>
          <w:color w:val="595959"/>
          <w:sz w:val="26"/>
          <w:szCs w:val="26"/>
          <w:rtl w:val="0"/>
        </w:rPr>
        <w:t xml:space="preserve">[SIREMA]</w:t>
      </w:r>
      <w:r w:rsidDel="00000000" w:rsidR="00000000" w:rsidRPr="00000000">
        <w:rPr>
          <w:rtl w:val="0"/>
        </w:rPr>
      </w:r>
    </w:p>
    <w:p w:rsidR="00000000" w:rsidDel="00000000" w:rsidP="00000000" w:rsidRDefault="00000000" w:rsidRPr="00000000" w14:paraId="00001004">
      <w:pPr>
        <w:spacing w:after="500" w:lineRule="auto"/>
        <w:jc w:val="center"/>
        <w:rPr/>
      </w:pPr>
      <w:r w:rsidDel="00000000" w:rsidR="00000000" w:rsidRPr="00000000">
        <w:rPr>
          <w:rFonts w:ascii="Calibri" w:cs="Calibri" w:eastAsia="Calibri" w:hAnsi="Calibri"/>
          <w:b w:val="0"/>
          <w:bCs w:val="0"/>
          <w:i w:val="0"/>
          <w:iCs w:val="0"/>
          <w:color w:val="595959"/>
          <w:sz w:val="22"/>
          <w:szCs w:val="22"/>
          <w:rtl w:val="0"/>
        </w:rPr>
        <w:t xml:space="preserve">Notación UML</w:t>
      </w:r>
      <w:r w:rsidDel="00000000" w:rsidR="00000000" w:rsidRPr="00000000">
        <w:rPr>
          <w:rtl w:val="0"/>
        </w:rPr>
      </w:r>
    </w:p>
    <w:p w:rsidR="00000000" w:rsidDel="00000000" w:rsidP="00000000" w:rsidRDefault="00000000" w:rsidRPr="00000000" w14:paraId="00001005">
      <w:pPr>
        <w:spacing w:after="60" w:lineRule="auto"/>
        <w:jc w:val="center"/>
        <w:rPr/>
      </w:pPr>
      <w:r w:rsidDel="00000000" w:rsidR="00000000" w:rsidRPr="00000000">
        <w:rPr>
          <w:rFonts w:ascii="Calibri" w:cs="Calibri" w:eastAsia="Calibri" w:hAnsi="Calibri"/>
          <w:b w:val="0"/>
          <w:bCs w:val="0"/>
          <w:i w:val="0"/>
          <w:iCs w:val="0"/>
          <w:color w:val="595959"/>
          <w:sz w:val="20"/>
          <w:szCs w:val="20"/>
          <w:rtl w:val="0"/>
        </w:rPr>
        <w:t xml:space="preserve">Octava Compañía del Cuerpo de Bomberos de Talcahuano</w:t>
      </w:r>
      <w:r w:rsidDel="00000000" w:rsidR="00000000" w:rsidRPr="00000000">
        <w:rPr>
          <w:rtl w:val="0"/>
        </w:rPr>
      </w:r>
    </w:p>
    <w:p w:rsidR="00000000" w:rsidDel="00000000" w:rsidP="00000000" w:rsidRDefault="00000000" w:rsidRPr="00000000" w14:paraId="00001006">
      <w:pPr>
        <w:spacing w:after="60" w:lineRule="auto"/>
        <w:jc w:val="center"/>
        <w:rPr/>
      </w:pPr>
      <w:r w:rsidDel="00000000" w:rsidR="00000000" w:rsidRPr="00000000">
        <w:rPr>
          <w:rFonts w:ascii="Calibri" w:cs="Calibri" w:eastAsia="Calibri" w:hAnsi="Calibri"/>
          <w:b w:val="0"/>
          <w:bCs w:val="0"/>
          <w:i w:val="0"/>
          <w:iCs w:val="0"/>
          <w:color w:val="595959"/>
          <w:sz w:val="20"/>
          <w:szCs w:val="20"/>
          <w:rtl w:val="0"/>
        </w:rPr>
        <w:t xml:space="preserve">Ingeniería en Informática, Duoc UC, Sede San Andrés</w:t>
      </w:r>
      <w:r w:rsidDel="00000000" w:rsidR="00000000" w:rsidRPr="00000000">
        <w:rPr>
          <w:rtl w:val="0"/>
        </w:rPr>
      </w:r>
    </w:p>
    <w:p w:rsidR="00000000" w:rsidDel="00000000" w:rsidP="00000000" w:rsidRDefault="00000000" w:rsidRPr="00000000" w14:paraId="00001007">
      <w:pPr>
        <w:spacing w:after="60" w:lineRule="auto"/>
        <w:jc w:val="center"/>
        <w:rPr/>
      </w:pPr>
      <w:r w:rsidDel="00000000" w:rsidR="00000000" w:rsidRPr="00000000">
        <w:rPr>
          <w:rFonts w:ascii="Calibri" w:cs="Calibri" w:eastAsia="Calibri" w:hAnsi="Calibri"/>
          <w:b w:val="0"/>
          <w:bCs w:val="0"/>
          <w:i w:val="0"/>
          <w:iCs w:val="0"/>
          <w:color w:val="595959"/>
          <w:sz w:val="20"/>
          <w:szCs w:val="20"/>
          <w:rtl w:val="0"/>
        </w:rPr>
        <w:t xml:space="preserve">Capstone APT122, sección 004D, Grupo 1</w:t>
      </w:r>
      <w:r w:rsidDel="00000000" w:rsidR="00000000" w:rsidRPr="00000000">
        <w:rPr>
          <w:rtl w:val="0"/>
        </w:rPr>
      </w:r>
    </w:p>
    <w:p w:rsidR="00000000" w:rsidDel="00000000" w:rsidP="00000000" w:rsidRDefault="00000000" w:rsidRPr="00000000" w14:paraId="00001008">
      <w:pPr>
        <w:spacing w:after="300" w:lineRule="auto"/>
        <w:jc w:val="center"/>
        <w:rPr/>
      </w:pPr>
      <w:r w:rsidDel="00000000" w:rsidR="00000000" w:rsidRPr="00000000">
        <w:rPr>
          <w:rFonts w:ascii="Calibri" w:cs="Calibri" w:eastAsia="Calibri" w:hAnsi="Calibri"/>
          <w:b w:val="0"/>
          <w:bCs w:val="0"/>
          <w:i w:val="0"/>
          <w:iCs w:val="0"/>
          <w:color w:val="595959"/>
          <w:sz w:val="20"/>
          <w:szCs w:val="20"/>
          <w:rtl w:val="0"/>
        </w:rPr>
        <w:t xml:space="preserve">Fase 2, diseño de la solución</w:t>
      </w:r>
      <w:r w:rsidDel="00000000" w:rsidR="00000000" w:rsidRPr="00000000">
        <w:rPr>
          <w:rtl w:val="0"/>
        </w:rPr>
      </w:r>
    </w:p>
    <w:p w:rsidR="00000000" w:rsidDel="00000000" w:rsidP="00000000" w:rsidRDefault="00000000" w:rsidRPr="00000000" w14:paraId="00001009">
      <w:pPr>
        <w:spacing w:after="600" w:lineRule="auto"/>
        <w:jc w:val="center"/>
        <w:rPr/>
      </w:pPr>
      <w:r w:rsidDel="00000000" w:rsidR="00000000" w:rsidRPr="00000000">
        <w:rPr>
          <w:rFonts w:ascii="Calibri" w:cs="Calibri" w:eastAsia="Calibri" w:hAnsi="Calibri"/>
          <w:b w:val="0"/>
          <w:bCs w:val="0"/>
          <w:i w:val="0"/>
          <w:iCs w:val="0"/>
          <w:color w:val="595959"/>
          <w:sz w:val="20"/>
          <w:szCs w:val="20"/>
          <w:rtl w:val="0"/>
        </w:rPr>
        <w:t xml:space="preserve">Fecha: 24/09/2026</w:t>
      </w:r>
      <w:r w:rsidDel="00000000" w:rsidR="00000000" w:rsidRPr="00000000">
        <w:rPr>
          <w:rtl w:val="0"/>
        </w:rPr>
      </w:r>
    </w:p>
    <w:p w:rsidR="00000000" w:rsidDel="00000000" w:rsidP="00000000" w:rsidRDefault="00000000" w:rsidRPr="00000000" w14:paraId="0000100A">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Alcance del diagrama</w:t>
      </w:r>
      <w:r w:rsidDel="00000000" w:rsidR="00000000" w:rsidRPr="00000000">
        <w:rPr>
          <w:rtl w:val="0"/>
        </w:rPr>
      </w:r>
    </w:p>
    <w:p w:rsidR="00000000" w:rsidDel="00000000" w:rsidP="00000000" w:rsidRDefault="00000000" w:rsidRPr="00000000" w14:paraId="0000100B">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diagrama representa el alcance completo de SIREMA en notación UML: los siete actores que interactúan con el sistema, el límite que separa lo que el sistema hace de lo que queda fuera, los treinta casos de uso agrupados en los tres ámbitos funcionales y las dependencias de inclusión y extensión entre ellos.</w:t>
      </w:r>
      <w:r w:rsidDel="00000000" w:rsidR="00000000" w:rsidRPr="00000000">
        <w:rPr>
          <w:rtl w:val="0"/>
        </w:rPr>
      </w:r>
    </w:p>
    <w:p w:rsidR="00000000" w:rsidDel="00000000" w:rsidP="00000000" w:rsidRDefault="00000000" w:rsidRPr="00000000" w14:paraId="0000100C">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diagrama se entrega como archivo aparte, </w:t>
      </w:r>
      <w:r w:rsidDel="00000000" w:rsidR="00000000" w:rsidRPr="00000000">
        <w:rPr>
          <w:rFonts w:ascii="Consolas" w:cs="Consolas" w:eastAsia="Consolas" w:hAnsi="Consolas"/>
          <w:b w:val="0"/>
          <w:bCs w:val="0"/>
          <w:i w:val="0"/>
          <w:iCs w:val="0"/>
          <w:color w:val="000000"/>
          <w:sz w:val="19"/>
          <w:szCs w:val="19"/>
          <w:rtl w:val="0"/>
        </w:rPr>
        <w:t xml:space="preserve">SIREMA_Casos_de_Uso_Diagrama.svg</w:t>
      </w:r>
      <w:r w:rsidDel="00000000" w:rsidR="00000000" w:rsidRPr="00000000">
        <w:rPr>
          <w:rFonts w:ascii="Calibri" w:cs="Calibri" w:eastAsia="Calibri" w:hAnsi="Calibri"/>
          <w:b w:val="0"/>
          <w:bCs w:val="0"/>
          <w:i w:val="0"/>
          <w:iCs w:val="0"/>
          <w:color w:val="000000"/>
          <w:sz w:val="21"/>
          <w:szCs w:val="21"/>
          <w:rtl w:val="0"/>
        </w:rPr>
        <w:t xml:space="preserve">. Este documento contiene el detalle textual: la justificación de cada actor, las relaciones con su condición, las reglas de modelado aplicadas y la tabla de trazabilidad con los objetivos específicos del proyecto.</w:t>
      </w:r>
      <w:r w:rsidDel="00000000" w:rsidR="00000000" w:rsidRPr="00000000">
        <w:rPr>
          <w:rtl w:val="0"/>
        </w:rPr>
      </w:r>
    </w:p>
    <w:p w:rsidR="00000000" w:rsidDel="00000000" w:rsidP="00000000" w:rsidRDefault="00000000" w:rsidRPr="00000000" w14:paraId="0000100D">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Cada caso de uso está redactado como una acción del actor sobre el sistema, con verbo en infinitivo más objeto del dominio. No se emplean nombres técnicos ni denominaciones de operación de base de datos. El mantenimiento completo de una entidad se representa como un único caso de uso en el diagrama general y se desglosa en los diagramas detallados de cada módulo.</w:t>
      </w:r>
      <w:r w:rsidDel="00000000" w:rsidR="00000000" w:rsidRPr="00000000">
        <w:rPr>
          <w:rtl w:val="0"/>
        </w:rPr>
      </w:r>
    </w:p>
    <w:p w:rsidR="00000000" w:rsidDel="00000000" w:rsidP="00000000" w:rsidRDefault="00000000" w:rsidRPr="00000000" w14:paraId="0000100E">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Actores</w:t>
      </w:r>
      <w:r w:rsidDel="00000000" w:rsidR="00000000" w:rsidRPr="00000000">
        <w:rPr>
          <w:rtl w:val="0"/>
        </w:rPr>
      </w:r>
    </w:p>
    <w:p w:rsidR="00000000" w:rsidDel="00000000" w:rsidP="00000000" w:rsidRDefault="00000000" w:rsidRPr="00000000" w14:paraId="0000100F">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Los cuatro roles de usuario heredan de un actor generalizado, </w:t>
      </w:r>
      <w:r w:rsidDel="00000000" w:rsidR="00000000" w:rsidRPr="00000000">
        <w:rPr>
          <w:rFonts w:ascii="Calibri" w:cs="Calibri" w:eastAsia="Calibri" w:hAnsi="Calibri"/>
          <w:b w:val="1"/>
          <w:bCs w:val="1"/>
          <w:i w:val="0"/>
          <w:iCs w:val="0"/>
          <w:color w:val="000000"/>
          <w:sz w:val="21"/>
          <w:szCs w:val="21"/>
          <w:rtl w:val="0"/>
        </w:rPr>
        <w:t xml:space="preserve">Usuario del sistema</w:t>
      </w:r>
      <w:r w:rsidDel="00000000" w:rsidR="00000000" w:rsidRPr="00000000">
        <w:rPr>
          <w:rFonts w:ascii="Calibri" w:cs="Calibri" w:eastAsia="Calibri" w:hAnsi="Calibri"/>
          <w:b w:val="0"/>
          <w:bCs w:val="0"/>
          <w:i w:val="0"/>
          <w:iCs w:val="0"/>
          <w:color w:val="000000"/>
          <w:sz w:val="21"/>
          <w:szCs w:val="21"/>
          <w:rtl w:val="0"/>
        </w:rPr>
        <w:t xml:space="preserve">, al que se conectan las acciones comunes a todos ellos. Esto evita repetir la misma asociación cuatro veces y refleja la estructura real de la entidad Rol del modelo de datos.</w:t>
      </w:r>
      <w:r w:rsidDel="00000000" w:rsidR="00000000" w:rsidRPr="00000000">
        <w:rPr>
          <w:rtl w:val="0"/>
        </w:rPr>
      </w:r>
    </w:p>
    <w:tbl>
      <w:tblPr>
        <w:tblStyle w:val="Table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00"/>
        <w:gridCol w:w="2000"/>
        <w:gridCol w:w="4238"/>
        <w:tblGridChange w:id="0">
          <w:tblGrid>
            <w:gridCol w:w="3400"/>
            <w:gridCol w:w="2000"/>
            <w:gridCol w:w="423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10">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Actor</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11">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Tipo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12">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Qué lo justifica en el modelo de datos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3">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Usuario del sistema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Primario (generalizado)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Actor padre. Agrupa lo comun a los cuatro roles de la entidad Rol.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6">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Bombero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Primario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Revision.ejecuta, Fotografia.captura, Movimiento.registra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9">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Jefatura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Primario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Plan de revision, Asignacion de plan, Baja.autoriza, Hallazgo.cierra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C">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Administrador</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Primario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Rol, Permiso, Evento de auditoria, Unidad, Cajonera, Categoria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F">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Consulta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Primario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Rol de solo lectura previsto en la entidad Rol. Hereda del actor padre.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22">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Programador de tareas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Secundario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Genera ocurrencias de Revision y Notificacion sin intervencion humana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25">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Servicio de almacenamiento local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Secundario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Guarda el archivo y devuelve ruta_almacenamiento y resumen_sha256</w:t>
            </w:r>
            <w:r w:rsidDel="00000000" w:rsidR="00000000" w:rsidRPr="00000000">
              <w:rPr>
                <w:rtl w:val="0"/>
              </w:rPr>
            </w:r>
          </w:p>
        </w:tc>
      </w:tr>
    </w:tbl>
    <w:p w:rsidR="00000000" w:rsidDel="00000000" w:rsidP="00000000" w:rsidRDefault="00000000" w:rsidRPr="00000000" w14:paraId="00001028">
      <w:pPr>
        <w:spacing w:after="0" w:lineRule="auto"/>
        <w:rPr/>
      </w:pPr>
      <w:r w:rsidDel="00000000" w:rsidR="00000000" w:rsidRPr="00000000">
        <w:rPr>
          <w:rtl w:val="0"/>
        </w:rPr>
      </w:r>
    </w:p>
    <w:p w:rsidR="00000000" w:rsidDel="00000000" w:rsidP="00000000" w:rsidRDefault="00000000" w:rsidRPr="00000000" w14:paraId="00001029">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Dos precisiones sobre los actores</w:t>
      </w:r>
      <w:r w:rsidDel="00000000" w:rsidR="00000000" w:rsidRPr="00000000">
        <w:rPr>
          <w:rtl w:val="0"/>
        </w:rPr>
      </w:r>
    </w:p>
    <w:p w:rsidR="00000000" w:rsidDel="00000000" w:rsidP="00000000" w:rsidRDefault="00000000" w:rsidRPr="00000000" w14:paraId="0000102A">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No se representan sistemas externos.</w:t>
      </w:r>
      <w:r w:rsidDel="00000000" w:rsidR="00000000" w:rsidRPr="00000000">
        <w:rPr>
          <w:rFonts w:ascii="Calibri" w:cs="Calibri" w:eastAsia="Calibri" w:hAnsi="Calibri"/>
          <w:b w:val="0"/>
          <w:bCs w:val="0"/>
          <w:i w:val="0"/>
          <w:iCs w:val="0"/>
          <w:color w:val="000000"/>
          <w:sz w:val="21"/>
          <w:szCs w:val="21"/>
          <w:rtl w:val="0"/>
        </w:rPr>
        <w:t xml:space="preserve"> El alcance declarado en la Fase 1 excluye de forma explícita la integración con sistemas externos. La ausencia queda anotada dentro del propio diagrama para que no se lea como un olvido.</w:t>
      </w:r>
      <w:r w:rsidDel="00000000" w:rsidR="00000000" w:rsidRPr="00000000">
        <w:rPr>
          <w:rtl w:val="0"/>
        </w:rPr>
      </w:r>
    </w:p>
    <w:p w:rsidR="00000000" w:rsidDel="00000000" w:rsidP="00000000" w:rsidRDefault="00000000" w:rsidRPr="00000000" w14:paraId="0000102B">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La cámara del teléfono no es un actor.</w:t>
      </w:r>
      <w:r w:rsidDel="00000000" w:rsidR="00000000" w:rsidRPr="00000000">
        <w:rPr>
          <w:rFonts w:ascii="Calibri" w:cs="Calibri" w:eastAsia="Calibri" w:hAnsi="Calibri"/>
          <w:b w:val="0"/>
          <w:bCs w:val="0"/>
          <w:i w:val="0"/>
          <w:iCs w:val="0"/>
          <w:color w:val="000000"/>
          <w:sz w:val="21"/>
          <w:szCs w:val="21"/>
          <w:rtl w:val="0"/>
        </w:rPr>
        <w:t xml:space="preserve"> Forma parte del dispositivo desde el que opera el bombero. El actor secundario es el servicio que almacena la imagen y calcula su resumen criptográfico, porque es el que devuelve al sistema la ruta y el resumen que quedan registrados.</w:t>
      </w:r>
      <w:r w:rsidDel="00000000" w:rsidR="00000000" w:rsidRPr="00000000">
        <w:rPr>
          <w:rtl w:val="0"/>
        </w:rPr>
      </w:r>
    </w:p>
    <w:p w:rsidR="00000000" w:rsidDel="00000000" w:rsidP="00000000" w:rsidRDefault="00000000" w:rsidRPr="00000000" w14:paraId="0000102C">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Límite del sistema</w:t>
      </w:r>
      <w:r w:rsidDel="00000000" w:rsidR="00000000" w:rsidRPr="00000000">
        <w:rPr>
          <w:rtl w:val="0"/>
        </w:rPr>
      </w:r>
    </w:p>
    <w:p w:rsidR="00000000" w:rsidDel="00000000" w:rsidP="00000000" w:rsidRDefault="00000000" w:rsidRPr="00000000" w14:paraId="0000102D">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límite se dibuja como un rectángulo rotulado SIREMA. Los actores primarios se ubican a la izquierda y los secundarios a la derecha, según la convención habitual, de modo que el revisor identifique unos y otros sin recurrir a la leyenda. Dentro del límite, los casos de uso se agrupan en tres bandas que coinciden con los tres dominios funcionales del sistema.</w:t>
      </w:r>
      <w:r w:rsidDel="00000000" w:rsidR="00000000" w:rsidRPr="00000000">
        <w:rPr>
          <w:rtl w:val="0"/>
        </w:rPr>
      </w:r>
    </w:p>
    <w:p w:rsidR="00000000" w:rsidDel="00000000" w:rsidP="00000000" w:rsidRDefault="00000000" w:rsidRPr="00000000" w14:paraId="0000102E">
      <w:pPr>
        <w:rPr/>
        <w:sectPr>
          <w:footerReference r:id="rId7" w:type="default"/>
          <w:pgSz w:h="16838" w:w="11906" w:orient="portrait"/>
          <w:pgMar w:bottom="1134" w:top="1134" w:left="1134" w:right="1134" w:header="708" w:footer="708" w:gutter="0"/>
          <w:pgNumType w:start="1"/>
        </w:sectPr>
      </w:pPr>
      <w:r w:rsidDel="00000000" w:rsidR="00000000" w:rsidRPr="00000000">
        <w:rPr>
          <w:rtl w:val="0"/>
        </w:rPr>
      </w:r>
    </w:p>
    <w:p w:rsidR="00000000" w:rsidDel="00000000" w:rsidP="00000000" w:rsidRDefault="00000000" w:rsidRPr="00000000" w14:paraId="0000102F">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Casos de uso</w:t>
      </w:r>
      <w:r w:rsidDel="00000000" w:rsidR="00000000" w:rsidRPr="00000000">
        <w:rPr>
          <w:rtl w:val="0"/>
        </w:rPr>
      </w:r>
    </w:p>
    <w:p w:rsidR="00000000" w:rsidDel="00000000" w:rsidP="00000000" w:rsidRDefault="00000000" w:rsidRPr="00000000" w14:paraId="00001030">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Treinta casos de uso agrupados en los tres ámbitos. La columna de la derecha indica qué actor inicia el caso; cuando el caso no lo inicia un actor sino que se alcanza por una dependencia, se indica cuál.</w:t>
      </w:r>
      <w:r w:rsidDel="00000000" w:rsidR="00000000" w:rsidRPr="00000000">
        <w:rPr>
          <w:rtl w:val="0"/>
        </w:rPr>
      </w:r>
    </w:p>
    <w:p w:rsidR="00000000" w:rsidDel="00000000" w:rsidP="00000000" w:rsidRDefault="00000000" w:rsidRPr="00000000" w14:paraId="00001031">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ACCESOS</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00"/>
        <w:gridCol w:w="5200"/>
        <w:gridCol w:w="9298"/>
        <w:tblGridChange w:id="0">
          <w:tblGrid>
            <w:gridCol w:w="900"/>
            <w:gridCol w:w="5200"/>
            <w:gridCol w:w="92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32">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ID</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33">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de uso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34">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Actor que lo inicia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35">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Iniciar sesión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del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38">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Cambiar contraseña propia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del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3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notificaciones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del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3E">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usuarios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Administrador</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41">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Asignar rol a usuario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Administrador</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44">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permisos por 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Administrador</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4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bitácora de auditoría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Administrador</w:t>
            </w:r>
            <w:r w:rsidDel="00000000" w:rsidR="00000000" w:rsidRPr="00000000">
              <w:rPr>
                <w:rtl w:val="0"/>
              </w:rPr>
            </w:r>
          </w:p>
        </w:tc>
      </w:tr>
    </w:tbl>
    <w:p w:rsidR="00000000" w:rsidDel="00000000" w:rsidP="00000000" w:rsidRDefault="00000000" w:rsidRPr="00000000" w14:paraId="0000104A">
      <w:pPr>
        <w:spacing w:after="0" w:lineRule="auto"/>
        <w:rPr/>
      </w:pPr>
      <w:r w:rsidDel="00000000" w:rsidR="00000000" w:rsidRPr="00000000">
        <w:rPr>
          <w:rtl w:val="0"/>
        </w:rPr>
      </w:r>
    </w:p>
    <w:p w:rsidR="00000000" w:rsidDel="00000000" w:rsidP="00000000" w:rsidRDefault="00000000" w:rsidRPr="00000000" w14:paraId="0000104B">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INVENTARIO</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00"/>
        <w:gridCol w:w="5200"/>
        <w:gridCol w:w="9298"/>
        <w:tblGridChange w:id="0">
          <w:tblGrid>
            <w:gridCol w:w="900"/>
            <w:gridCol w:w="5200"/>
            <w:gridCol w:w="92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4C">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ID</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4D">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de uso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4E">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Actor que lo inicia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4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52">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Modificar ficha de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55">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Dar de baja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58">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Buscar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del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5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movimiento de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Bombero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5E">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historial de un elemento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del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1">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unidades y cajoneras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Administrador</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4">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B8</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categorías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Administrador</w:t>
            </w:r>
            <w:r w:rsidDel="00000000" w:rsidR="00000000" w:rsidRPr="00000000">
              <w:rPr>
                <w:rtl w:val="0"/>
              </w:rPr>
            </w:r>
          </w:p>
        </w:tc>
      </w:tr>
    </w:tbl>
    <w:p w:rsidR="00000000" w:rsidDel="00000000" w:rsidP="00000000" w:rsidRDefault="00000000" w:rsidRPr="00000000" w14:paraId="00001067">
      <w:pPr>
        <w:spacing w:after="0" w:lineRule="auto"/>
        <w:rPr/>
      </w:pPr>
      <w:r w:rsidDel="00000000" w:rsidR="00000000" w:rsidRPr="00000000">
        <w:rPr>
          <w:rtl w:val="0"/>
        </w:rPr>
      </w:r>
    </w:p>
    <w:p w:rsidR="00000000" w:rsidDel="00000000" w:rsidP="00000000" w:rsidRDefault="00000000" w:rsidRPr="00000000" w14:paraId="00001068">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REVISIONES</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00"/>
        <w:gridCol w:w="5200"/>
        <w:gridCol w:w="9298"/>
        <w:tblGridChange w:id="0">
          <w:tblGrid>
            <w:gridCol w:w="900"/>
            <w:gridCol w:w="5200"/>
            <w:gridCol w:w="92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69">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ID</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6A">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de uso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6B">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Actor que lo inicia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C">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Definir plan de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Definir puntos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«include» desde Definir plan de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2">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Asignar plan a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5">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Generar revisiones programadas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Programador de tareas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8">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Emitir notificación de vencimiento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Programador de tareas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revisiones pendientes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Bombero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E">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Ejecutar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Bombero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1">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C8</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resultado de punto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«include» desde Ejecutar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4">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C9</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observación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«extend» sobre Registrar resultado de punto de control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Adjuntar fotografía de evidencia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Servicio de almacenamiento local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A">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«extend» sobre Ejecutar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D">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Anular fotografía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 · Servicio de almacenamiento local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90">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Cerrar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9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panel de cumplimiento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96">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Exportar reporte de cumplimiento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Jefatura</w:t>
            </w:r>
            <w:r w:rsidDel="00000000" w:rsidR="00000000" w:rsidRPr="00000000">
              <w:rPr>
                <w:rtl w:val="0"/>
              </w:rPr>
            </w:r>
          </w:p>
        </w:tc>
      </w:tr>
    </w:tbl>
    <w:p w:rsidR="00000000" w:rsidDel="00000000" w:rsidP="00000000" w:rsidRDefault="00000000" w:rsidRPr="00000000" w14:paraId="00001099">
      <w:pPr>
        <w:spacing w:after="0" w:lineRule="auto"/>
        <w:rPr/>
      </w:pPr>
      <w:r w:rsidDel="00000000" w:rsidR="00000000" w:rsidRPr="00000000">
        <w:rPr>
          <w:rtl w:val="0"/>
        </w:rPr>
      </w:r>
    </w:p>
    <w:p w:rsidR="00000000" w:rsidDel="00000000" w:rsidP="00000000" w:rsidRDefault="00000000" w:rsidRPr="00000000" w14:paraId="0000109A">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Relaciones entre casos de uso</w:t>
      </w:r>
      <w:r w:rsidDel="00000000" w:rsidR="00000000" w:rsidRPr="00000000">
        <w:rPr>
          <w:rtl w:val="0"/>
        </w:rPr>
      </w:r>
    </w:p>
    <w:p w:rsidR="00000000" w:rsidDel="00000000" w:rsidP="00000000" w:rsidRDefault="00000000" w:rsidRPr="00000000" w14:paraId="0000109B">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 regla que separa ambas dependencias: </w:t>
      </w:r>
      <w:r w:rsidDel="00000000" w:rsidR="00000000" w:rsidRPr="00000000">
        <w:rPr>
          <w:rFonts w:ascii="Calibri" w:cs="Calibri" w:eastAsia="Calibri" w:hAnsi="Calibri"/>
          <w:b w:val="1"/>
          <w:bCs w:val="1"/>
          <w:i w:val="0"/>
          <w:iCs w:val="0"/>
          <w:color w:val="000000"/>
          <w:sz w:val="21"/>
          <w:szCs w:val="21"/>
          <w:rtl w:val="0"/>
        </w:rPr>
        <w:t xml:space="preserve">include es lo que siempre ocurre</w:t>
      </w:r>
      <w:r w:rsidDel="00000000" w:rsidR="00000000" w:rsidRPr="00000000">
        <w:rPr>
          <w:rFonts w:ascii="Calibri" w:cs="Calibri" w:eastAsia="Calibri" w:hAnsi="Calibri"/>
          <w:b w:val="0"/>
          <w:bCs w:val="0"/>
          <w:i w:val="0"/>
          <w:iCs w:val="0"/>
          <w:color w:val="000000"/>
          <w:sz w:val="21"/>
          <w:szCs w:val="21"/>
          <w:rtl w:val="0"/>
        </w:rPr>
        <w:t xml:space="preserve"> al ejecutar el caso base, </w:t>
      </w:r>
      <w:r w:rsidDel="00000000" w:rsidR="00000000" w:rsidRPr="00000000">
        <w:rPr>
          <w:rFonts w:ascii="Calibri" w:cs="Calibri" w:eastAsia="Calibri" w:hAnsi="Calibri"/>
          <w:b w:val="1"/>
          <w:bCs w:val="1"/>
          <w:i w:val="0"/>
          <w:iCs w:val="0"/>
          <w:color w:val="000000"/>
          <w:sz w:val="21"/>
          <w:szCs w:val="21"/>
          <w:rtl w:val="0"/>
        </w:rPr>
        <w:t xml:space="preserve">extend es lo que ocurre solo bajo una condición</w:t>
      </w:r>
      <w:r w:rsidDel="00000000" w:rsidR="00000000" w:rsidRPr="00000000">
        <w:rPr>
          <w:rFonts w:ascii="Calibri" w:cs="Calibri" w:eastAsia="Calibri" w:hAnsi="Calibri"/>
          <w:b w:val="0"/>
          <w:bCs w:val="0"/>
          <w:i w:val="0"/>
          <w:iCs w:val="0"/>
          <w:color w:val="000000"/>
          <w:sz w:val="21"/>
          <w:szCs w:val="21"/>
          <w:rtl w:val="0"/>
        </w:rPr>
        <w:t xml:space="preserve">. La flecha de include apunta desde el caso base hacia el caso incluido; la de extend apunta desde la extensión hacia el caso base. Son sentidos opuestos.</w:t>
      </w:r>
      <w:r w:rsidDel="00000000" w:rsidR="00000000" w:rsidRPr="00000000">
        <w:rPr>
          <w:rtl w:val="0"/>
        </w:rPr>
      </w:r>
    </w:p>
    <w:p w:rsidR="00000000" w:rsidDel="00000000" w:rsidP="00000000" w:rsidRDefault="00000000" w:rsidRPr="00000000" w14:paraId="0000109C">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Dependencias «include»</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4400"/>
        <w:gridCol w:w="6598"/>
        <w:tblGridChange w:id="0">
          <w:tblGrid>
            <w:gridCol w:w="4400"/>
            <w:gridCol w:w="4400"/>
            <w:gridCol w:w="65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9D">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base</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9E">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incluido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9F">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Por qué ocurre siempre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Modificar ficha de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1">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Buscar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Para modificar una ficha primero hay que localizarla.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Dar de baja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4">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Buscar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Para dar de baja un elemento primero hay que localizarlo.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movimiento de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7">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Buscar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Para trasladar un elemento primero hay que localizarlo.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Asignar plan a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A">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Buscar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Para asignar un plan primero hay que localizar el elemento.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Definir plan de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D">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Definir puntos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Un plan sin puntos de control no es ejecutable: siempre se definen.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Ejecutar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0">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Registrar resultado de punto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Ejecutar una revisión es, por definición, responder sus puntos.</w:t>
            </w:r>
            <w:r w:rsidDel="00000000" w:rsidR="00000000" w:rsidRPr="00000000">
              <w:rPr>
                <w:rtl w:val="0"/>
              </w:rPr>
            </w:r>
          </w:p>
        </w:tc>
      </w:tr>
    </w:tbl>
    <w:p w:rsidR="00000000" w:rsidDel="00000000" w:rsidP="00000000" w:rsidRDefault="00000000" w:rsidRPr="00000000" w14:paraId="000010B2">
      <w:pPr>
        <w:spacing w:after="0" w:lineRule="auto"/>
        <w:rPr/>
      </w:pPr>
      <w:r w:rsidDel="00000000" w:rsidR="00000000" w:rsidRPr="00000000">
        <w:rPr>
          <w:rtl w:val="0"/>
        </w:rPr>
      </w:r>
    </w:p>
    <w:p w:rsidR="00000000" w:rsidDel="00000000" w:rsidP="00000000" w:rsidRDefault="00000000" w:rsidRPr="00000000" w14:paraId="000010B3">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Dependencias «extend»</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00"/>
        <w:gridCol w:w="4400"/>
        <w:gridCol w:w="6598"/>
        <w:tblGridChange w:id="0">
          <w:tblGrid>
            <w:gridCol w:w="4400"/>
            <w:gridCol w:w="4400"/>
            <w:gridCol w:w="65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B4">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Extensión</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B5">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base</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B6">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Condición de extensión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B7">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Adjuntar fotografía de evidencia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Ejecutar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exige_fotografia del plan o del punto de control en verdadero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BA">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Registrar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Ejecutar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resultado_global de la revisión igual a falla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BD">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Registrar observación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resultado de punto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resultado del punto distinto de conforme</w:t>
            </w:r>
            <w:r w:rsidDel="00000000" w:rsidR="00000000" w:rsidRPr="00000000">
              <w:rPr>
                <w:rtl w:val="0"/>
              </w:rPr>
            </w:r>
          </w:p>
        </w:tc>
      </w:tr>
    </w:tbl>
    <w:p w:rsidR="00000000" w:rsidDel="00000000" w:rsidP="00000000" w:rsidRDefault="00000000" w:rsidRPr="00000000" w14:paraId="000010C0">
      <w:pPr>
        <w:spacing w:after="0" w:lineRule="auto"/>
        <w:rPr/>
      </w:pPr>
      <w:r w:rsidDel="00000000" w:rsidR="00000000" w:rsidRPr="00000000">
        <w:rPr>
          <w:rtl w:val="0"/>
        </w:rPr>
      </w:r>
    </w:p>
    <w:p w:rsidR="00000000" w:rsidDel="00000000" w:rsidP="00000000" w:rsidRDefault="00000000" w:rsidRPr="00000000" w14:paraId="000010C1">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Reglas de modelado aplicadas</w:t>
      </w:r>
      <w:r w:rsidDel="00000000" w:rsidR="00000000" w:rsidRPr="00000000">
        <w:rPr>
          <w:rtl w:val="0"/>
        </w:rPr>
      </w:r>
    </w:p>
    <w:p w:rsidR="00000000" w:rsidDel="00000000" w:rsidP="00000000" w:rsidRDefault="00000000" w:rsidRPr="00000000" w14:paraId="000010C2">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«Iniciar sesión» no se modela como include de los demás casos.</w:t>
      </w:r>
      <w:r w:rsidDel="00000000" w:rsidR="00000000" w:rsidRPr="00000000">
        <w:rPr>
          <w:rFonts w:ascii="Calibri" w:cs="Calibri" w:eastAsia="Calibri" w:hAnsi="Calibri"/>
          <w:b w:val="0"/>
          <w:bCs w:val="0"/>
          <w:i w:val="0"/>
          <w:iCs w:val="0"/>
          <w:color w:val="000000"/>
          <w:sz w:val="21"/>
          <w:szCs w:val="21"/>
          <w:rtl w:val="0"/>
        </w:rPr>
        <w:t xml:space="preserve"> Es una precondición del sistema y se declara como tal en la especificación textual de cada caso. Incluirla en todos los casos es el error más frecuente en este tipo de diagrama y el más fácil de detectar.</w:t>
      </w:r>
      <w:r w:rsidDel="00000000" w:rsidR="00000000" w:rsidRPr="00000000">
        <w:rPr>
          <w:rtl w:val="0"/>
        </w:rPr>
      </w:r>
    </w:p>
    <w:p w:rsidR="00000000" w:rsidDel="00000000" w:rsidP="00000000" w:rsidRDefault="00000000" w:rsidRPr="00000000" w14:paraId="000010C3">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El diagrama no lleva orden temporal.</w:t>
      </w:r>
      <w:r w:rsidDel="00000000" w:rsidR="00000000" w:rsidRPr="00000000">
        <w:rPr>
          <w:rFonts w:ascii="Calibri" w:cs="Calibri" w:eastAsia="Calibri" w:hAnsi="Calibri"/>
          <w:b w:val="0"/>
          <w:bCs w:val="0"/>
          <w:i w:val="0"/>
          <w:iCs w:val="0"/>
          <w:color w:val="000000"/>
          <w:sz w:val="21"/>
          <w:szCs w:val="21"/>
          <w:rtl w:val="0"/>
        </w:rPr>
        <w:t xml:space="preserve"> No hay flechas de flujo ni secuencia entre casos de uso: esa información corresponde a los diagramas de secuencia.</w:t>
      </w:r>
      <w:r w:rsidDel="00000000" w:rsidR="00000000" w:rsidRPr="00000000">
        <w:rPr>
          <w:rtl w:val="0"/>
        </w:rPr>
      </w:r>
    </w:p>
    <w:p w:rsidR="00000000" w:rsidDel="00000000" w:rsidP="00000000" w:rsidRDefault="00000000" w:rsidRPr="00000000" w14:paraId="000010C4">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El mantenimiento completo va como un solo caso.</w:t>
      </w:r>
      <w:r w:rsidDel="00000000" w:rsidR="00000000" w:rsidRPr="00000000">
        <w:rPr>
          <w:rFonts w:ascii="Calibri" w:cs="Calibri" w:eastAsia="Calibri" w:hAnsi="Calibri"/>
          <w:b w:val="0"/>
          <w:bCs w:val="0"/>
          <w:i w:val="0"/>
          <w:iCs w:val="0"/>
          <w:color w:val="000000"/>
          <w:sz w:val="21"/>
          <w:szCs w:val="21"/>
          <w:rtl w:val="0"/>
        </w:rPr>
        <w:t xml:space="preserve"> «Administrar categorías» o «Administrar unidades y cajoneras» agrupan el alta, la edición y la baja. El desglose corresponde a los diagramas detallados.</w:t>
      </w:r>
      <w:r w:rsidDel="00000000" w:rsidR="00000000" w:rsidRPr="00000000">
        <w:rPr>
          <w:rtl w:val="0"/>
        </w:rPr>
      </w:r>
    </w:p>
    <w:p w:rsidR="00000000" w:rsidDel="00000000" w:rsidP="00000000" w:rsidRDefault="00000000" w:rsidRPr="00000000" w14:paraId="000010C5">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Dos excepciones deliberadas</w:t>
      </w:r>
      <w:r w:rsidDel="00000000" w:rsidR="00000000" w:rsidRPr="00000000">
        <w:rPr>
          <w:rtl w:val="0"/>
        </w:rPr>
      </w:r>
    </w:p>
    <w:p w:rsidR="00000000" w:rsidDel="00000000" w:rsidP="00000000" w:rsidRDefault="00000000" w:rsidRPr="00000000" w14:paraId="000010C6">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Las dos situaciones siguientes se apartan de la regla general de que un actor no se conecta a un caso incluido ni a una extensión. Se declaran de forma expresa porque son decisiones tomadas, no descuidos.</w:t>
      </w:r>
      <w:r w:rsidDel="00000000" w:rsidR="00000000" w:rsidRPr="00000000">
        <w:rPr>
          <w:rtl w:val="0"/>
        </w:rPr>
      </w:r>
    </w:p>
    <w:p w:rsidR="00000000" w:rsidDel="00000000" w:rsidP="00000000" w:rsidRDefault="00000000" w:rsidRPr="00000000" w14:paraId="000010C7">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«Buscar material» recibe una asociación del actor padre además de cuatro dependencias de inclusión.</w:t>
      </w:r>
      <w:r w:rsidDel="00000000" w:rsidR="00000000" w:rsidRPr="00000000">
        <w:rPr>
          <w:rFonts w:ascii="Calibri" w:cs="Calibri" w:eastAsia="Calibri" w:hAnsi="Calibri"/>
          <w:b w:val="0"/>
          <w:bCs w:val="0"/>
          <w:i w:val="0"/>
          <w:iCs w:val="0"/>
          <w:color w:val="000000"/>
          <w:sz w:val="21"/>
          <w:szCs w:val="21"/>
          <w:rtl w:val="0"/>
        </w:rPr>
        <w:t xml:space="preserve"> Es a la vez un caso incluido por otros cuatro y un caso que cualquier usuario puede iniciar por sí mismo para consultar el inventario. Ambas condiciones son ciertas y el modelo de datos las sostiene.</w:t>
      </w:r>
      <w:r w:rsidDel="00000000" w:rsidR="00000000" w:rsidRPr="00000000">
        <w:rPr>
          <w:rtl w:val="0"/>
        </w:rPr>
      </w:r>
    </w:p>
    <w:p w:rsidR="00000000" w:rsidDel="00000000" w:rsidP="00000000" w:rsidRDefault="00000000" w:rsidRPr="00000000" w14:paraId="000010C8">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«Adjuntar fotografía de evidencia» se asocia con un actor secundario pese a ser una extensión.</w:t>
      </w:r>
      <w:r w:rsidDel="00000000" w:rsidR="00000000" w:rsidRPr="00000000">
        <w:rPr>
          <w:rFonts w:ascii="Calibri" w:cs="Calibri" w:eastAsia="Calibri" w:hAnsi="Calibri"/>
          <w:b w:val="0"/>
          <w:bCs w:val="0"/>
          <w:i w:val="0"/>
          <w:iCs w:val="0"/>
          <w:color w:val="000000"/>
          <w:sz w:val="21"/>
          <w:szCs w:val="21"/>
          <w:rtl w:val="0"/>
        </w:rPr>
        <w:t xml:space="preserve"> La regla de no conectar actores a una extensión rige para el actor primario que inicia el caso. Aquí el servicio de almacenamiento participa dentro de la extensión, que es donde ocurre realmente la interacción: es él quien devuelve la ruta y el resumen criptográfico del archivo.</w:t>
      </w:r>
      <w:r w:rsidDel="00000000" w:rsidR="00000000" w:rsidRPr="00000000">
        <w:rPr>
          <w:rtl w:val="0"/>
        </w:rPr>
      </w:r>
    </w:p>
    <w:p w:rsidR="00000000" w:rsidDel="00000000" w:rsidP="00000000" w:rsidRDefault="00000000" w:rsidRPr="00000000" w14:paraId="000010C9">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Trazabilidad con los objetivos específicos</w:t>
      </w:r>
      <w:r w:rsidDel="00000000" w:rsidR="00000000" w:rsidRPr="00000000">
        <w:rPr>
          <w:rtl w:val="0"/>
        </w:rPr>
      </w:r>
    </w:p>
    <w:p w:rsidR="00000000" w:rsidDel="00000000" w:rsidP="00000000" w:rsidRDefault="00000000" w:rsidRPr="00000000" w14:paraId="000010CA">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Cada caso de uso se asocia al objetivo específico al que responde. Los casos marcados como sin trazabilidad se explican en la sección siguiente, conforme a lo que exige el enunciado.</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00"/>
        <w:gridCol w:w="6400"/>
        <w:gridCol w:w="3200"/>
        <w:gridCol w:w="4798"/>
        <w:tblGridChange w:id="0">
          <w:tblGrid>
            <w:gridCol w:w="1000"/>
            <w:gridCol w:w="6400"/>
            <w:gridCol w:w="3200"/>
            <w:gridCol w:w="47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CB">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ID</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CC">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de uso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CD">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Objetivo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CE">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Ámbito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C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Iniciar sesión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Accesos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D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Cambiar contraseña propia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Sin trazabilidad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Accesos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D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notificaciones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Accesos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D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usuarios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Accesos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D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Asignar rol a usuario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Accesos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permisos por 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Accesos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A7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bitácora de auditoría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Sin trazabilidad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Accesos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Modificar ficha de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F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Dar de baja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F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Buscar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F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movimiento de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F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historial de un elemento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0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unidades y cajoneras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OE1 (soporte)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0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B8</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categorías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OE1 (soporte)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0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Definir plan de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0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Definir puntos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1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Asignar plan a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1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Generar revisiones programadas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1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Emitir notificación de vencimiento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1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revisiones pendientes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OE2 y 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2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Ejecutar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2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C8</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resultado de punto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2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C9</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observación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2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Adjuntar fotografía de evidencia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Sin trazabilidad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Sin trazabilidad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7">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Anular fotografía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Sin trazabilidad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B">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Cerrar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Sin trazabilidad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F">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panel de cumplimiento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43">
            <w:pPr>
              <w:spacing w:after="0" w:line="240" w:lineRule="auto"/>
              <w:jc w:val="center"/>
              <w:rPr/>
            </w:pPr>
            <w:r w:rsidDel="00000000" w:rsidR="00000000" w:rsidRPr="00000000">
              <w:rPr>
                <w:rFonts w:ascii="Consolas" w:cs="Consolas" w:eastAsia="Consolas" w:hAnsi="Consolas"/>
                <w:b w:val="0"/>
                <w:bCs w:val="0"/>
                <w:i w:val="0"/>
                <w:iCs w:val="0"/>
                <w:color w:val="000000"/>
                <w:sz w:val="16"/>
                <w:szCs w:val="16"/>
                <w:rtl w:val="0"/>
              </w:rPr>
              <w:t xml:space="preserve">C15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Exportar reporte de cumplimiento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Revisiones</w:t>
            </w:r>
            <w:r w:rsidDel="00000000" w:rsidR="00000000" w:rsidRPr="00000000">
              <w:rPr>
                <w:rtl w:val="0"/>
              </w:rPr>
            </w:r>
          </w:p>
        </w:tc>
      </w:tr>
    </w:tbl>
    <w:p w:rsidR="00000000" w:rsidDel="00000000" w:rsidP="00000000" w:rsidRDefault="00000000" w:rsidRPr="00000000" w14:paraId="00001147">
      <w:pPr>
        <w:spacing w:after="0" w:lineRule="auto"/>
        <w:rPr/>
      </w:pPr>
      <w:r w:rsidDel="00000000" w:rsidR="00000000" w:rsidRPr="00000000">
        <w:rPr>
          <w:rtl w:val="0"/>
        </w:rPr>
      </w:r>
    </w:p>
    <w:p w:rsidR="00000000" w:rsidDel="00000000" w:rsidP="00000000" w:rsidRDefault="00000000" w:rsidRPr="00000000" w14:paraId="00001148">
      <w:pPr>
        <w:rPr/>
        <w:sectPr>
          <w:footerReference r:id="rId8" w:type="default"/>
          <w:type w:val="nextPage"/>
          <w:pgSz w:h="11906" w:w="16838" w:orient="landscape"/>
          <w:pgMar w:bottom="720" w:top="720" w:left="720" w:right="720" w:header="708" w:footer="708" w:gutter="0"/>
        </w:sectPr>
      </w:pPr>
      <w:r w:rsidDel="00000000" w:rsidR="00000000" w:rsidRPr="00000000">
        <w:rPr>
          <w:rtl w:val="0"/>
        </w:rPr>
      </w:r>
    </w:p>
    <w:p w:rsidR="00000000" w:rsidDel="00000000" w:rsidP="00000000" w:rsidRDefault="00000000" w:rsidRPr="00000000" w14:paraId="00001149">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Casos de uso sin trazabilidad</w:t>
      </w:r>
      <w:r w:rsidDel="00000000" w:rsidR="00000000" w:rsidRPr="00000000">
        <w:rPr>
          <w:rtl w:val="0"/>
        </w:rPr>
      </w:r>
    </w:p>
    <w:p w:rsidR="00000000" w:rsidDel="00000000" w:rsidP="00000000" w:rsidRDefault="00000000" w:rsidRPr="00000000" w14:paraId="0000114A">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Seis casos de uso no responden a ningún objetivo específico. El enunciado pide que esa ausencia quede visible y explicada, y así se hace. Ninguno de los seis es prescindible: todos están sostenidos por un requisito o por una decisión de modelado.</w:t>
      </w:r>
      <w:r w:rsidDel="00000000" w:rsidR="00000000" w:rsidRPr="00000000">
        <w:rPr>
          <w:rtl w:val="0"/>
        </w:rPr>
      </w:r>
    </w:p>
    <w:tbl>
      <w:tblPr>
        <w:tblStyle w:val="Table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4B">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de uso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4C">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Por qué no traza y qué lo sostiene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4D">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Cambiar contraseña propia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Responde al RNF-02, contraseñas seguras y control de acceso por rol, no a un objetivo específico.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4F">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Consultar bitácora de auditoría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Responde al RNF-09, trazabilidad de toda acción relevante. Es un requisito no funcional, no un objetivo.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1">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Adjuntar fotografía de evidencia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El OE2 habla de listas de verificación con registro de resultados y no menciona evidencia fotográfica. Responde al RF-08 y al propósito general del proyecto.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3">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Registrar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Ningún objetivo específico cubre el seguimiento de las fallas detectadas.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5">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Anular fotografía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Deriva de la decisión de modelado de anular las imágenes en lugar de eliminarlas, sostenida por el RNF-09.</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7">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Cerrar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Ningún objetivo específico cubre el seguimiento de las fallas detectadas.</w:t>
            </w:r>
            <w:r w:rsidDel="00000000" w:rsidR="00000000" w:rsidRPr="00000000">
              <w:rPr>
                <w:rtl w:val="0"/>
              </w:rPr>
            </w:r>
          </w:p>
        </w:tc>
      </w:tr>
    </w:tbl>
    <w:p w:rsidR="00000000" w:rsidDel="00000000" w:rsidP="00000000" w:rsidRDefault="00000000" w:rsidRPr="00000000" w14:paraId="00001159">
      <w:pPr>
        <w:spacing w:after="0" w:lineRule="auto"/>
        <w:rPr/>
      </w:pPr>
      <w:r w:rsidDel="00000000" w:rsidR="00000000" w:rsidRPr="00000000">
        <w:rPr>
          <w:rtl w:val="0"/>
        </w:rPr>
      </w:r>
    </w:p>
    <w:p w:rsidR="00000000" w:rsidDel="00000000" w:rsidP="00000000" w:rsidRDefault="00000000" w:rsidRPr="00000000" w14:paraId="0000115A">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La decisión pendiente sobre el objetivo específico 2</w:t>
      </w:r>
      <w:r w:rsidDel="00000000" w:rsidR="00000000" w:rsidRPr="00000000">
        <w:rPr>
          <w:rtl w:val="0"/>
        </w:rPr>
      </w:r>
    </w:p>
    <w:p w:rsidR="00000000" w:rsidDel="00000000" w:rsidP="00000000" w:rsidRDefault="00000000" w:rsidRPr="00000000" w14:paraId="0000115B">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Los casos relativos a la evidencia fotográfica son el vacío de mayor peso. El objetivo específico 2 habla de listas de verificación con registro de resultados y no menciona la fotografía en ninguna parte, pese a que la evidencia gráfica es una pieza central del sistema y está modelada como entidad propia.</w:t>
      </w:r>
      <w:r w:rsidDel="00000000" w:rsidR="00000000" w:rsidRPr="00000000">
        <w:rPr>
          <w:rtl w:val="0"/>
        </w:rPr>
      </w:r>
    </w:p>
    <w:p w:rsidR="00000000" w:rsidDel="00000000" w:rsidP="00000000" w:rsidRDefault="00000000" w:rsidRPr="00000000" w14:paraId="0000115C">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Hay dos salidas posibles. La primera es ampliar el objetivo específico 2 para incorporar la evidencia fotográfica, que es lo correcto de fondo pero obliga a corregir los documentos de la Fase 1 y las diapositivas. La segunda es dejarlo declarado como caso de uso sin trazabilidad, justificado por el RF-08 y por el propósito general del proyecto. Este documento adopta la segunda, que es la que el propio enunciado admite de forma explícita, y deja constancia de que la primera es preferible una vez cerrada la entrega.</w:t>
      </w:r>
      <w:r w:rsidDel="00000000" w:rsidR="00000000" w:rsidRPr="00000000">
        <w:rPr>
          <w:rtl w:val="0"/>
        </w:rPr>
      </w:r>
    </w:p>
    <w:p w:rsidR="00000000" w:rsidDel="00000000" w:rsidP="00000000" w:rsidRDefault="00000000" w:rsidRPr="00000000" w14:paraId="0000115D">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Verificación inversa: objetivos sin casos de uso</w:t>
      </w:r>
      <w:r w:rsidDel="00000000" w:rsidR="00000000" w:rsidRPr="00000000">
        <w:rPr>
          <w:rtl w:val="0"/>
        </w:rPr>
      </w:r>
    </w:p>
    <w:p w:rsidR="00000000" w:rsidDel="00000000" w:rsidP="00000000" w:rsidRDefault="00000000" w:rsidRPr="00000000" w14:paraId="0000115E">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enunciado también exige que quede explícito si algún objetivo no se sostiene en ningún caso de uso. Ninguno queda en esa situación: los tres objetivos específicos están cubiertos.</w:t>
      </w:r>
      <w:r w:rsidDel="00000000" w:rsidR="00000000" w:rsidRPr="00000000">
        <w:rPr>
          <w:rtl w:val="0"/>
        </w:rPr>
      </w:r>
    </w:p>
    <w:p w:rsidR="00000000" w:rsidDel="00000000" w:rsidP="00000000" w:rsidRDefault="00000000" w:rsidRPr="00000000" w14:paraId="0000115F">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OE1 — Mejorar la trazabilidad del material menor, identificando cada elemento con un código único y registrando su categoría, ubicación y movimientos entre carros y cajoneras.</w:t>
      </w:r>
      <w:r w:rsidDel="00000000" w:rsidR="00000000" w:rsidRPr="00000000">
        <w:rPr>
          <w:rtl w:val="0"/>
        </w:rPr>
      </w:r>
    </w:p>
    <w:p w:rsidR="00000000" w:rsidDel="00000000" w:rsidP="00000000" w:rsidRDefault="00000000" w:rsidRPr="00000000" w14:paraId="00001160">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Se sostiene en 8 casos de uso: registrar material, modificar ficha de material, dar de baja material, buscar material, registrar movimiento de material, consultar historial de un elemento, administrar unidades y cajoneras, administrar categorías.</w:t>
      </w:r>
      <w:r w:rsidDel="00000000" w:rsidR="00000000" w:rsidRPr="00000000">
        <w:rPr>
          <w:rtl w:val="0"/>
        </w:rPr>
      </w:r>
    </w:p>
    <w:p w:rsidR="00000000" w:rsidDel="00000000" w:rsidP="00000000" w:rsidRDefault="00000000" w:rsidRPr="00000000" w14:paraId="00001161">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OE2 — Asegurar que las revisiones periódicas se cumplan dentro del plazo definido para cada equipo, asignándolas a bomberos responsables mediante listas de verificación con registro de resultados.</w:t>
      </w:r>
      <w:r w:rsidDel="00000000" w:rsidR="00000000" w:rsidRPr="00000000">
        <w:rPr>
          <w:rtl w:val="0"/>
        </w:rPr>
      </w:r>
    </w:p>
    <w:p w:rsidR="00000000" w:rsidDel="00000000" w:rsidP="00000000" w:rsidRDefault="00000000" w:rsidRPr="00000000" w14:paraId="00001162">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Se sostiene en 8 casos de uso: definir plan de revisión, definir puntos de control, asignar plan a material, generar revisiones programadas, consultar revisiones pendientes, ejecutar revisión, registrar resultado de punto de control, registrar observación.</w:t>
      </w:r>
      <w:r w:rsidDel="00000000" w:rsidR="00000000" w:rsidRPr="00000000">
        <w:rPr>
          <w:rtl w:val="0"/>
        </w:rPr>
      </w:r>
    </w:p>
    <w:p w:rsidR="00000000" w:rsidDel="00000000" w:rsidP="00000000" w:rsidRDefault="00000000" w:rsidRPr="00000000" w14:paraId="00001163">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OE3 — Fortalecer el control de acceso y la visibilidad del cumplimiento, con acceso restringido por rol, notificaciones de revisiones pendientes y reportes para la jefatura.</w:t>
      </w:r>
      <w:r w:rsidDel="00000000" w:rsidR="00000000" w:rsidRPr="00000000">
        <w:rPr>
          <w:rtl w:val="0"/>
        </w:rPr>
      </w:r>
    </w:p>
    <w:p w:rsidR="00000000" w:rsidDel="00000000" w:rsidP="00000000" w:rsidRDefault="00000000" w:rsidRPr="00000000" w14:paraId="00001164">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Se sostiene en 8 casos de uso: iniciar sesión, consultar notificaciones, administrar usuarios, asignar rol a usuario, administrar permisos por rol, emitir notificación de vencimiento, consultar panel de cumplimiento, exportar reporte de cumplimiento.</w:t>
      </w:r>
      <w:r w:rsidDel="00000000" w:rsidR="00000000" w:rsidRPr="00000000">
        <w:rPr>
          <w:rtl w:val="0"/>
        </w:rPr>
      </w:r>
    </w:p>
    <w:p w:rsidR="00000000" w:rsidDel="00000000" w:rsidP="00000000" w:rsidRDefault="00000000" w:rsidRPr="00000000" w14:paraId="00001165">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Consistencia con el modelo de datos</w:t>
      </w:r>
      <w:r w:rsidDel="00000000" w:rsidR="00000000" w:rsidRPr="00000000">
        <w:rPr>
          <w:rtl w:val="0"/>
        </w:rPr>
      </w:r>
    </w:p>
    <w:p w:rsidR="00000000" w:rsidDel="00000000" w:rsidP="00000000" w:rsidRDefault="00000000" w:rsidRPr="00000000" w14:paraId="00001166">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Ambos entregables son consistentes entre sí, como exige el enunciado. El modelo conceptual entregado en </w:t>
      </w:r>
      <w:r w:rsidDel="00000000" w:rsidR="00000000" w:rsidRPr="00000000">
        <w:rPr>
          <w:rFonts w:ascii="Consolas" w:cs="Consolas" w:eastAsia="Consolas" w:hAnsi="Consolas"/>
          <w:b w:val="0"/>
          <w:bCs w:val="0"/>
          <w:i w:val="0"/>
          <w:iCs w:val="0"/>
          <w:color w:val="000000"/>
          <w:sz w:val="19"/>
          <w:szCs w:val="19"/>
          <w:rtl w:val="0"/>
        </w:rPr>
        <w:t xml:space="preserve">SIREMA_MER_Conceptual.docx</w:t>
      </w:r>
      <w:r w:rsidDel="00000000" w:rsidR="00000000" w:rsidRPr="00000000">
        <w:rPr>
          <w:rFonts w:ascii="Calibri" w:cs="Calibri" w:eastAsia="Calibri" w:hAnsi="Calibri"/>
          <w:b w:val="0"/>
          <w:bCs w:val="0"/>
          <w:i w:val="0"/>
          <w:iCs w:val="0"/>
          <w:color w:val="000000"/>
          <w:sz w:val="21"/>
          <w:szCs w:val="21"/>
          <w:rtl w:val="0"/>
        </w:rPr>
        <w:t xml:space="preserve"> incluye una tabla que asocia cada uno de estos treinta casos de uso con las entidades que intervienen en su ejecución, más la verificación en sentido inverso.</w:t>
      </w:r>
      <w:r w:rsidDel="00000000" w:rsidR="00000000" w:rsidRPr="00000000">
        <w:rPr>
          <w:rtl w:val="0"/>
        </w:rPr>
      </w:r>
    </w:p>
    <w:p w:rsidR="00000000" w:rsidDel="00000000" w:rsidP="00000000" w:rsidRDefault="00000000" w:rsidRPr="00000000" w14:paraId="00001167">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Tres casos de uso de este diagrama existen precisamente porque el modelo de datos los exige. Sin ellos, habría atributos que ninguna acción del sistema podría escribir nunca.</w:t>
      </w:r>
      <w:r w:rsidDel="00000000" w:rsidR="00000000" w:rsidRPr="00000000">
        <w:rPr>
          <w:rtl w:val="0"/>
        </w:rPr>
      </w:r>
    </w:p>
    <w:p w:rsidR="00000000" w:rsidDel="00000000" w:rsidP="00000000" w:rsidRDefault="00000000" w:rsidRPr="00000000" w14:paraId="00001168">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Consultar notificaciones</w:t>
      </w:r>
      <w:r w:rsidDel="00000000" w:rsidR="00000000" w:rsidRPr="00000000">
        <w:rPr>
          <w:rFonts w:ascii="Calibri" w:cs="Calibri" w:eastAsia="Calibri" w:hAnsi="Calibri"/>
          <w:b w:val="0"/>
          <w:bCs w:val="0"/>
          <w:i w:val="0"/>
          <w:iCs w:val="0"/>
          <w:color w:val="000000"/>
          <w:sz w:val="21"/>
          <w:szCs w:val="21"/>
          <w:rtl w:val="0"/>
        </w:rPr>
        <w:t xml:space="preserve"> es el único caso que escribe los atributos leída y fecha de lectura de la entidad Notificación.</w:t>
      </w:r>
      <w:r w:rsidDel="00000000" w:rsidR="00000000" w:rsidRPr="00000000">
        <w:rPr>
          <w:rtl w:val="0"/>
        </w:rPr>
      </w:r>
    </w:p>
    <w:p w:rsidR="00000000" w:rsidDel="00000000" w:rsidP="00000000" w:rsidRDefault="00000000" w:rsidRPr="00000000" w14:paraId="00001169">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Anular fotografía</w:t>
      </w:r>
      <w:r w:rsidDel="00000000" w:rsidR="00000000" w:rsidRPr="00000000">
        <w:rPr>
          <w:rFonts w:ascii="Calibri" w:cs="Calibri" w:eastAsia="Calibri" w:hAnsi="Calibri"/>
          <w:b w:val="0"/>
          <w:bCs w:val="0"/>
          <w:i w:val="0"/>
          <w:iCs w:val="0"/>
          <w:color w:val="000000"/>
          <w:sz w:val="21"/>
          <w:szCs w:val="21"/>
          <w:rtl w:val="0"/>
        </w:rPr>
        <w:t xml:space="preserve"> es el único caso que escribe el atributo anulada de la entidad Fotografía, coherente con la decisión de no eliminar las imágenes.</w:t>
      </w:r>
      <w:r w:rsidDel="00000000" w:rsidR="00000000" w:rsidRPr="00000000">
        <w:rPr>
          <w:rtl w:val="0"/>
        </w:rPr>
      </w:r>
    </w:p>
    <w:p w:rsidR="00000000" w:rsidDel="00000000" w:rsidP="00000000" w:rsidRDefault="00000000" w:rsidRPr="00000000" w14:paraId="0000116A">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Administrar permisos por rol</w:t>
      </w:r>
      <w:r w:rsidDel="00000000" w:rsidR="00000000" w:rsidRPr="00000000">
        <w:rPr>
          <w:rFonts w:ascii="Calibri" w:cs="Calibri" w:eastAsia="Calibri" w:hAnsi="Calibri"/>
          <w:b w:val="0"/>
          <w:bCs w:val="0"/>
          <w:i w:val="0"/>
          <w:iCs w:val="0"/>
          <w:color w:val="000000"/>
          <w:sz w:val="21"/>
          <w:szCs w:val="21"/>
          <w:rtl w:val="0"/>
        </w:rPr>
        <w:t xml:space="preserve"> es el único caso que mantiene la relación de muchos a muchos entre Rol y Permiso. Sin él, las entidades Permiso y esa relación quedarían sin ninguna acción que las alimente.</w:t>
      </w:r>
      <w:r w:rsidDel="00000000" w:rsidR="00000000" w:rsidRPr="00000000">
        <w:rPr>
          <w:rtl w:val="0"/>
        </w:rPr>
      </w:r>
    </w:p>
    <w:sectPr>
      <w:footerReference r:id="rId9" w:type="default"/>
      <w:type w:val="nextPage"/>
      <w:pgSz w:h="16838" w:w="11906" w:orient="portrait"/>
      <w:pgMar w:bottom="1134" w:top="1134" w:left="1134" w:right="1134" w:header="708" w:footer="708"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0">
    <w:pPr>
      <w:tabs>
        <w:tab w:val="right" w:leader="none" w:pos="9026"/>
      </w:tabs>
      <w:rPr/>
    </w:pPr>
    <w:r w:rsidDel="00000000" w:rsidR="00000000" w:rsidRPr="00000000">
      <w:rPr>
        <w:rFonts w:ascii="Calibri" w:cs="Calibri" w:eastAsia="Calibri" w:hAnsi="Calibri"/>
        <w:b w:val="0"/>
        <w:bCs w:val="0"/>
        <w:i w:val="0"/>
        <w:iCs w:val="0"/>
        <w:color w:val="595959"/>
        <w:sz w:val="16"/>
        <w:szCs w:val="16"/>
        <w:rtl w:val="0"/>
      </w:rPr>
      <w:t xml:space="preserve">Modelo relacional · SIREMA · Ingeniería en Informática, Duoc UC</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tabs>
        <w:tab w:val="right" w:leader="none" w:pos="9026"/>
      </w:tabs>
      <w:rPr/>
    </w:pPr>
    <w:r w:rsidDel="00000000" w:rsidR="00000000" w:rsidRPr="00000000">
      <w:rPr>
        <w:rFonts w:ascii="Calibri" w:cs="Calibri" w:eastAsia="Calibri" w:hAnsi="Calibri"/>
        <w:b w:val="0"/>
        <w:bCs w:val="0"/>
        <w:i w:val="0"/>
        <w:iCs w:val="0"/>
        <w:color w:val="595959"/>
        <w:sz w:val="16"/>
        <w:szCs w:val="16"/>
        <w:rtl w:val="0"/>
      </w:rPr>
      <w:t xml:space="preserve">Modelo relacional · SIREMA · Ingeniería en Informática, Duoc UC</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tabs>
        <w:tab w:val="right" w:leader="none" w:pos="9026"/>
      </w:tabs>
      <w:rPr/>
    </w:pPr>
    <w:r w:rsidDel="00000000" w:rsidR="00000000" w:rsidRPr="00000000">
      <w:rPr>
        <w:rFonts w:ascii="Calibri" w:cs="Calibri" w:eastAsia="Calibri" w:hAnsi="Calibri"/>
        <w:b w:val="0"/>
        <w:bCs w:val="0"/>
        <w:i w:val="0"/>
        <w:iCs w:val="0"/>
        <w:color w:val="595959"/>
        <w:sz w:val="16"/>
        <w:szCs w:val="16"/>
        <w:rtl w:val="0"/>
      </w:rPr>
      <w:t xml:space="preserve">Modelo relacional · SIREMA · Ingeniería en Informática, Duoc UC</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kDVad3AJD7+d1m+AIcEHYb0sQ==">CgMxLjA4AHIhMUNubGNQWG5ndEMzcmZOU0cwUjZzcWJrZm1tY3RhcDhh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2026-09-22T23:41:29.382Z</dcterms:created>
  <dc:creator>Un-named</dc:creator>
</cp:coreProperties>
</file>

<file path=docProps/custom.xml><?xml version="1.0" encoding="utf-8"?>
<Properties xmlns="http://schemas.openxmlformats.org/officeDocument/2006/custom-properties" xmlns:vt="http://schemas.openxmlformats.org/officeDocument/2006/docPropsVTypes"/>
</file>