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pPr>
              <w:spacing w:before="0" w:after="100" w:line="264" w:lineRule="auto"/>
              <w:jc w:val="both"/>
            </w:pPr>
          </w:p>
          <w:p>
            <w:pPr>
              <w:spacing w:before="0" w:after="100" w:line="264" w:lineRule="auto"/>
              <w:jc w:val="both"/>
            </w:pPr>
            <w:r>
              <w:rPr>
                <w:rFonts w:ascii="Calibri" w:hAnsi="Calibri" w:cs="Calibri"/>
                <w:b/>
                <w:bCs/>
                <w:color w:val="000000"/>
                <w:sz w:val="20"/>
                <w:szCs w:val="20"/>
              </w:rPr>
              <w:t xml:space="preserve">Corte del informe: semana 8 (9 de octubre de 2026).</w:t>
            </w:r>
            <w:r>
              <w:rPr>
                <w:rFonts w:ascii="Calibri" w:hAnsi="Calibri" w:cs="Calibri"/>
                <w:color w:val="000000"/>
                <w:sz w:val="20"/>
                <w:szCs w:val="20"/>
              </w:rPr>
              <w:t xml:space="preserve"> La Fase 1 se cerró en la semana 4 con la definición del proyecto y su presentación. En la Fase 2 el equipo cerró las dos etapas de diseño previstas en la metodología en cascada: el modelo de datos y la arquitectura con sus interfaces.</w:t>
            </w:r>
          </w:p>
          <w:p>
            <w:pPr>
              <w:spacing w:before="0" w:after="100" w:line="264" w:lineRule="auto"/>
              <w:jc w:val="both"/>
            </w:pPr>
            <w:r>
              <w:rPr>
                <w:rFonts w:ascii="Calibri" w:hAnsi="Calibri" w:cs="Calibri"/>
                <w:b/>
                <w:bCs/>
                <w:color w:val="000000"/>
                <w:sz w:val="20"/>
                <w:szCs w:val="20"/>
              </w:rPr>
              <w:t xml:space="preserve">Actividades realizadas:</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Modelo de datos.</w:t>
            </w:r>
            <w:r>
              <w:rPr>
                <w:rFonts w:ascii="Calibri" w:hAnsi="Calibri" w:cs="Calibri"/>
                <w:color w:val="000000"/>
                <w:sz w:val="20"/>
                <w:szCs w:val="20"/>
              </w:rPr>
              <w:t xml:space="preserve"> Modelo conceptual (MER) de 18 entidades y 28 relaciones con cardinalidad y participación, y su derivación a un modelo relacional en PostgreSQL de 19 tablas, 29 claves foráneas y tercera forma normal, con diccionario de datos completo.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Diagrama general de casos de uso.</w:t>
            </w:r>
            <w:r>
              <w:rPr>
                <w:rFonts w:ascii="Calibri" w:hAnsi="Calibri" w:cs="Calibri"/>
                <w:color w:val="000000"/>
                <w:sz w:val="20"/>
                <w:szCs w:val="20"/>
              </w:rPr>
              <w:t xml:space="preserve"> Cinco actores, treinta casos de uso en tres módulos, seis «include» y cuatro «extend», con tabla de trazabilidad hacia los objetivos y consistencia verificada con el modelo de datos.</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Especificación de Requerimientos de Software (ERS v1.0, 08/10/2026).</w:t>
            </w:r>
            <w:r>
              <w:rPr>
                <w:rFonts w:ascii="Calibri" w:hAnsi="Calibri" w:cs="Calibri"/>
                <w:color w:val="000000"/>
                <w:sz w:val="20"/>
                <w:szCs w:val="20"/>
              </w:rPr>
              <w:t xml:space="preserve"> Doce requisitos funcionales con criterios de aceptación, once no funcionales con métricas verificables según ISO/IEC 25010, fichas de los casos de uso principales y matriz de trazabilidad objetivo, requisito, caso de uso y caso de prueba.</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Documento de Arquitectura de Software (DAS v1.0, 08/10/2026).</w:t>
            </w:r>
            <w:r>
              <w:rPr>
                <w:rFonts w:ascii="Calibri" w:hAnsi="Calibri" w:cs="Calibri"/>
                <w:color w:val="000000"/>
                <w:sz w:val="20"/>
                <w:szCs w:val="20"/>
              </w:rPr>
              <w:t xml:space="preserve"> Arquitectura descrita con el modelo 4+1: monolito modular en capas con Django 5.2, PostgreSQL 16 y cuatro contenedores Docker; catorce diagramas (clases, componentes, paquetes, actividad, secuencia y despliegue, entre otros); prototipo de cinco pantallas y evaluación heurística de Nielsen con 85 % de cumplimiento.</w:t>
            </w:r>
          </w:p>
          <w:p>
            <w:pPr>
              <w:spacing w:before="0" w:after="100" w:line="264" w:lineRule="auto"/>
              <w:jc w:val="both"/>
            </w:pPr>
            <w:r>
              <w:rPr>
                <w:rFonts w:ascii="Calibri" w:hAnsi="Calibri" w:cs="Calibri"/>
                <w:b/>
                <w:bCs/>
                <w:color w:val="000000"/>
                <w:sz w:val="20"/>
                <w:szCs w:val="20"/>
              </w:rPr>
              <w:t xml:space="preserve">Estado de los objetivos específicos.</w:t>
            </w:r>
            <w:r>
              <w:rPr>
                <w:rFonts w:ascii="Calibri" w:hAnsi="Calibri" w:cs="Calibri"/>
                <w:color w:val="000000"/>
                <w:sz w:val="20"/>
                <w:szCs w:val="20"/>
              </w:rPr>
              <w:t xml:space="preserve"> Ningún objetivo está cumplido todavía, porque los tres se verifican al cierre del semestre con requisitos aprobados en pruebas de aceptación. Lo logrado a la fecha es la base completa de diseño de cada uno: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OE-01, trazabilidad del material:</w:t>
            </w:r>
            <w:r>
              <w:rPr>
                <w:rFonts w:ascii="Calibri" w:hAnsi="Calibri" w:cs="Calibri"/>
                <w:color w:val="000000"/>
                <w:sz w:val="20"/>
                <w:szCs w:val="20"/>
              </w:rPr>
              <w:t xml:space="preserve"> módulo de inventario modelado, con unicidad del código institucional y registro de movimientos especificados en RF-03 a RF-06.</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OE-02, cobertura de revisiones:</w:t>
            </w:r>
            <w:r>
              <w:rPr>
                <w:rFonts w:ascii="Calibri" w:hAnsi="Calibri" w:cs="Calibri"/>
                <w:color w:val="000000"/>
                <w:sz w:val="20"/>
                <w:szCs w:val="20"/>
              </w:rPr>
              <w:t xml:space="preserve"> la cadena principal del sistema (material, asignación de plan, revisión, resultado de punto y fotografía) está modelada, especificada y diseñada, incluido el programador de tareas.</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OE-03, control de acceso y visibilidad:</w:t>
            </w:r>
            <w:r>
              <w:rPr>
                <w:rFonts w:ascii="Calibri" w:hAnsi="Calibri" w:cs="Calibri"/>
                <w:color w:val="000000"/>
                <w:sz w:val="20"/>
                <w:szCs w:val="20"/>
              </w:rPr>
              <w:t xml:space="preserve"> los tres roles, los permisos validados en el servidor, las notificaciones internas y el panel de cumplimiento están especificados y prototipados.</w:t>
            </w:r>
          </w:p>
          <w:p>
            <w:pPr>
              <w:spacing w:before="0" w:after="100" w:line="264" w:lineRule="auto"/>
              <w:jc w:val="both"/>
            </w:pPr>
            <w:r>
              <w:rPr>
                <w:rFonts w:ascii="Calibri" w:hAnsi="Calibri" w:cs="Calibri"/>
                <w:b/>
                <w:bCs/>
                <w:color w:val="000000"/>
                <w:sz w:val="20"/>
                <w:szCs w:val="20"/>
              </w:rPr>
              <w:t xml:space="preserve">Pendiente al corte:</w:t>
            </w:r>
            <w:r>
              <w:rPr>
                <w:rFonts w:ascii="Calibri" w:hAnsi="Calibri" w:cs="Calibri"/>
                <w:color w:val="000000"/>
                <w:sz w:val="20"/>
                <w:szCs w:val="20"/>
              </w:rPr>
              <w:t xml:space="preserve"> la construcción del módulo de usuarios y accesos, prevista para las semanas 7 y 8, no se ha iniciado. Su reprogramación se explica en la sección 3.</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pPr>
              <w:spacing w:before="0" w:after="100" w:line="264" w:lineRule="auto"/>
              <w:jc w:val="both"/>
            </w:pPr>
          </w:p>
          <w:p>
            <w:pPr>
              <w:spacing w:before="0" w:after="100" w:line="264" w:lineRule="auto"/>
              <w:jc w:val="both"/>
            </w:pPr>
            <w:r>
              <w:rPr>
                <w:rFonts w:ascii="Calibri" w:hAnsi="Calibri" w:cs="Calibri"/>
                <w:color w:val="000000"/>
                <w:sz w:val="20"/>
                <w:szCs w:val="20"/>
              </w:rPr>
              <w:t xml:space="preserve">Se ajustaron el objetivo general y el OE-02. Los OE-01 y OE-03 se mantienen sin cambios.</w:t>
            </w:r>
          </w:p>
          <w:p>
            <w:pPr>
              <w:spacing w:before="0" w:after="100" w:line="264" w:lineRule="auto"/>
              <w:jc w:val="both"/>
            </w:pPr>
            <w:r>
              <w:rPr>
                <w:rFonts w:ascii="Calibri" w:hAnsi="Calibri" w:cs="Calibri"/>
                <w:b/>
                <w:bCs/>
                <w:color w:val="000000"/>
                <w:sz w:val="20"/>
                <w:szCs w:val="20"/>
              </w:rPr>
              <w:t xml:space="preserve">Objetivo general (ajustado):</w:t>
            </w:r>
            <w:r>
              <w:rPr>
                <w:rFonts w:ascii="Calibri" w:hAnsi="Calibri" w:cs="Calibri"/>
                <w:color w:val="000000"/>
                <w:sz w:val="20"/>
                <w:szCs w:val="20"/>
              </w:rPr>
              <w:t xml:space="preserve"> Desarrollar una aplicación web de despliegue local que controle las mantenciones y revisiones periódicas del material menor de la Octava Compañía del Cuerpo de Bomberos de Talcahuano, para que su jefatura conozca el estado real de cada equipo antes de que ocurra una emergencia.</w:t>
            </w:r>
          </w:p>
          <w:p>
            <w:pPr>
              <w:spacing w:before="0" w:after="100" w:line="264" w:lineRule="auto"/>
              <w:jc w:val="both"/>
            </w:pPr>
            <w:r>
              <w:rPr>
                <w:rFonts w:ascii="Calibri" w:hAnsi="Calibri" w:cs="Calibri"/>
                <w:b/>
                <w:bCs/>
                <w:color w:val="000000"/>
                <w:sz w:val="20"/>
                <w:szCs w:val="20"/>
              </w:rPr>
              <w:t xml:space="preserve">OE-02 (ajustado):</w:t>
            </w:r>
            <w:r>
              <w:rPr>
                <w:rFonts w:ascii="Calibri" w:hAnsi="Calibri" w:cs="Calibri"/>
                <w:color w:val="000000"/>
                <w:sz w:val="20"/>
                <w:szCs w:val="20"/>
              </w:rPr>
              <w:t xml:space="preserve"> Asegurar la cobertura semanal completa de las revisiones periódicas, asignándolas a bomberos responsables mediante listas de verificación con registro de resultados y evidencia fotográfica, y dando seguimiento a las fallas detectadas hasta su cierre, de modo que ningún equipo quede sin controlar dentro del plazo establecido.</w:t>
            </w:r>
          </w:p>
          <w:p>
            <w:pPr>
              <w:spacing w:before="0" w:after="100" w:line="264" w:lineRule="auto"/>
              <w:jc w:val="both"/>
            </w:pPr>
            <w:r>
              <w:rPr>
                <w:rFonts w:ascii="Calibri" w:hAnsi="Calibri" w:cs="Calibri"/>
                <w:b/>
                <w:bCs/>
                <w:color w:val="000000"/>
                <w:sz w:val="20"/>
                <w:szCs w:val="20"/>
              </w:rPr>
              <w:t xml:space="preserve">Motivo del ajuste.</w:t>
            </w:r>
            <w:r>
              <w:rPr>
                <w:rFonts w:ascii="Calibri" w:hAnsi="Calibri" w:cs="Calibri"/>
                <w:color w:val="000000"/>
                <w:sz w:val="20"/>
                <w:szCs w:val="20"/>
              </w:rPr>
              <w:t xml:space="preserve"> Al construir la tabla de trazabilidad de los casos de uso, cuatro casos (adjuntar y anular fotografía, registrar y cerrar hallazgo) no respondían a ningún objetivo ni requisito de la Fase 1, aunque el modelo de datos ya los soportaba. Se agregaron los requisitos RF-11 (evidencia fotográfica) y RF-12 (gestión de hallazgos) y se amplió el OE-02 para cubrirlos. El objetivo general se precisó como aplicación de despliegue local y se reemplazó «equipos delicados» por «material menor», el término usado en todos los documentos. Cada objetivo cuenta ahora con un indicador de cumplimiento y una evidencia al cierre (ERS, sección 2.2).</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pPr>
              <w:spacing w:before="0" w:after="100" w:line="264" w:lineRule="auto"/>
              <w:jc w:val="both"/>
            </w:pPr>
          </w:p>
          <w:p>
            <w:pPr>
              <w:spacing w:before="0" w:after="100" w:line="264" w:lineRule="auto"/>
              <w:jc w:val="both"/>
            </w:pPr>
            <w:r>
              <w:rPr>
                <w:rFonts w:ascii="Calibri" w:hAnsi="Calibri" w:cs="Calibri"/>
                <w:color w:val="000000"/>
                <w:sz w:val="20"/>
                <w:szCs w:val="20"/>
              </w:rPr>
              <w:t xml:space="preserve">Se mantiene la </w:t>
            </w:r>
            <w:r>
              <w:rPr>
                <w:rFonts w:ascii="Calibri" w:hAnsi="Calibri" w:cs="Calibri"/>
                <w:b/>
                <w:bCs/>
                <w:color w:val="000000"/>
                <w:sz w:val="20"/>
                <w:szCs w:val="20"/>
              </w:rPr>
              <w:t xml:space="preserve">metodología tradicional en cascada</w:t>
            </w:r>
            <w:r>
              <w:rPr>
                <w:rFonts w:ascii="Calibri" w:hAnsi="Calibri" w:cs="Calibri"/>
                <w:color w:val="000000"/>
                <w:sz w:val="20"/>
                <w:szCs w:val="20"/>
              </w:rPr>
              <w:t xml:space="preserve">, con sus seis etapas y el cierre de cada una mediante un producto documentado. Hubo tres ajustes de aplicación, no de metodología:</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Retroalimentación controlada hacia la especificación.</w:t>
            </w:r>
            <w:r>
              <w:rPr>
                <w:rFonts w:ascii="Calibri" w:hAnsi="Calibri" w:cs="Calibri"/>
                <w:color w:val="000000"/>
                <w:sz w:val="20"/>
                <w:szCs w:val="20"/>
              </w:rPr>
              <w:t xml:space="preserve"> El análisis de casos de uso, propio del diseño, obligó a reabrir la especificación para incorporar RF-11 y RF-12. El cambio quedó registrado como versión nueva en el histórico de la ERS, que es la forma prevista en cascada para gestionar un cambio de requisitos.</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Decisiones técnicas cerradas en el diseño.</w:t>
            </w:r>
            <w:r>
              <w:rPr>
                <w:rFonts w:ascii="Calibri" w:hAnsi="Calibri" w:cs="Calibri"/>
                <w:color w:val="000000"/>
                <w:sz w:val="20"/>
                <w:szCs w:val="20"/>
              </w:rPr>
              <w:t xml:space="preserve"> El framework quedó definido en Django 5.2 LTS, junto con PostgreSQL 16, Nginx y Docker Compose, justificado frente a microservicios y a una aplicación de una sola página (DAS, sección 3).</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Flujo de trabajo en el repositorio para la construcción.</w:t>
            </w:r>
            <w:r>
              <w:rPr>
                <w:rFonts w:ascii="Calibri" w:hAnsi="Calibri" w:cs="Calibri"/>
                <w:color w:val="000000"/>
                <w:sz w:val="20"/>
                <w:szCs w:val="20"/>
              </w:rPr>
              <w:t xml:space="preserve"> Ramas main, develop y feature/, ingreso de cada cambio por pull request revisado por otro integrante y mensajes con Conventional Commits (DAS, sección 9). Con esto, además, el aporte de cada integrante queda visible en el historial de GitHub.</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7B20E46B"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51E5B895"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pPr>
              <w:spacing w:before="0" w:after="100" w:line="264" w:lineRule="auto"/>
              <w:jc w:val="both"/>
            </w:pPr>
          </w:p>
          <w:p>
            <w:pPr>
              <w:spacing w:before="0" w:after="100" w:line="264" w:lineRule="auto"/>
              <w:jc w:val="both"/>
            </w:pPr>
            <w:r>
              <w:rPr>
                <w:rFonts w:ascii="Calibri" w:hAnsi="Calibri" w:cs="Calibri"/>
                <w:color w:val="000000"/>
                <w:sz w:val="20"/>
                <w:szCs w:val="20"/>
              </w:rPr>
              <w:t xml:space="preserve">Se presentan seis evidencias, todas versionadas en el repositorio público https://github.com/Krnto2/Capstone_G1, carpeta Documentacion:</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T1_ERS_SIREMA.docx · ERS v1.0.</w:t>
            </w:r>
            <w:r>
              <w:rPr>
                <w:rFonts w:ascii="Calibri" w:hAnsi="Calibri" w:cs="Calibri"/>
                <w:color w:val="000000"/>
                <w:sz w:val="20"/>
                <w:szCs w:val="20"/>
              </w:rPr>
              <w:t xml:space="preserve"> Fija el alcance contra el cual se verificará el producto final. Calidad: estructura basada en IEEE 830, requisitos no funcionales con métricas medibles según ISO/IEC 25010 y matriz de trazabilidad hasta los casos de prueba.</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C1_DAS_SIREMA.docx · DAS v1.0.</w:t>
            </w:r>
            <w:r>
              <w:rPr>
                <w:rFonts w:ascii="Calibri" w:hAnsi="Calibri" w:cs="Calibri"/>
                <w:color w:val="000000"/>
                <w:sz w:val="20"/>
                <w:szCs w:val="20"/>
              </w:rPr>
              <w:t xml:space="preserve"> Demuestra que las decisiones técnicas responden a las restricciones del cuartel. Calidad: modelo de vistas 4+1 de Kruchten, alternativas evaluadas y descartadas con su justificación, y atributos de calidad con regla y herramienta de medición.</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SIREMA_MER_Conceptual (docx y png).</w:t>
            </w:r>
            <w:r>
              <w:rPr>
                <w:rFonts w:ascii="Calibri" w:hAnsi="Calibri" w:cs="Calibri"/>
                <w:color w:val="000000"/>
                <w:sz w:val="20"/>
                <w:szCs w:val="20"/>
              </w:rPr>
              <w:t xml:space="preserve"> Modelo conceptual con entidades débiles y asociativas declaradas y verificación cruzada contra los treinta casos de uso.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SIREMA_Modelo_Relacional (docx y png).</w:t>
            </w:r>
            <w:r>
              <w:rPr>
                <w:rFonts w:ascii="Calibri" w:hAnsi="Calibri" w:cs="Calibri"/>
                <w:color w:val="000000"/>
                <w:sz w:val="20"/>
                <w:szCs w:val="20"/>
              </w:rPr>
              <w:t xml:space="preserve"> Implementación lógica en PostgreSQL. Calidad: tercera forma normal, restricciones de unicidad e integridad referencial y política ON DELETE definida para cada clave foránea.</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SIREMA_Casos_de_Uso (docx y png).</w:t>
            </w:r>
            <w:r>
              <w:rPr>
                <w:rFonts w:ascii="Calibri" w:hAnsi="Calibri" w:cs="Calibri"/>
                <w:color w:val="000000"/>
                <w:sz w:val="20"/>
                <w:szCs w:val="20"/>
              </w:rPr>
              <w:t xml:space="preserve"> Diagrama UML general con trazabilidad hacia objetivos y requisitos. Calidad: los casos sin objetivo se declaran y explican, como exige el enunciado.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Prototipo de cinco pantallas</w:t>
            </w:r>
            <w:r>
              <w:rPr>
                <w:rFonts w:ascii="Calibri" w:hAnsi="Calibri" w:cs="Calibri"/>
                <w:color w:val="000000"/>
                <w:sz w:val="20"/>
                <w:szCs w:val="20"/>
              </w:rPr>
              <w:t xml:space="preserve"> (DAS, sección 7, y carpeta docs/prototipo). Validado con la evaluación heurística de Nielsen: 8,5 de 10 puntos, sin incumplimientos y con mejoras definidas para la construcción.</w:t>
            </w:r>
          </w:p>
          <w:p>
            <w:pPr>
              <w:spacing w:before="0" w:after="100" w:line="264" w:lineRule="auto"/>
              <w:jc w:val="both"/>
            </w:pPr>
            <w:r>
              <w:rPr>
                <w:rFonts w:ascii="Calibri" w:hAnsi="Calibri" w:cs="Calibri"/>
                <w:color w:val="000000"/>
                <w:sz w:val="20"/>
                <w:szCs w:val="20"/>
              </w:rPr>
              <w:t xml:space="preserve">Estas evidencias corresponden al bloque de avance comprometido en la Fase 1 (documento de requerimientos, documento de diseño y prototipo navegable). La evidencia de módulos operativos se presentará con el ajuste de plazos descrito en la sección 3.</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Gestión de proyectos informáticos</w:t>
            </w:r>
          </w:p>
        </w:tc>
        <w:tc>
          <w:tcPr>
            <w:tcW w:w="1077" w:type="dxa"/>
          </w:tcPr>
          <w:p>
            <w:pPr>
              <w:spacing w:before="0" w:after="40" w:line="264" w:lineRule="auto"/>
              <w:jc w:val="left"/>
            </w:pPr>
            <w:r>
              <w:rPr>
                <w:rFonts w:ascii="Calibri" w:hAnsi="Calibri" w:cs="Calibri"/>
                <w:color w:val="000000"/>
                <w:sz w:val="17"/>
                <w:szCs w:val="17"/>
              </w:rPr>
              <w:t xml:space="preserve">Definición del proyecto y conformación del equipo</w:t>
            </w:r>
          </w:p>
        </w:tc>
        <w:tc>
          <w:tcPr>
            <w:tcW w:w="1276" w:type="dxa"/>
          </w:tcPr>
          <w:p>
            <w:pPr>
              <w:spacing w:before="0" w:after="40" w:line="264" w:lineRule="auto"/>
              <w:jc w:val="left"/>
            </w:pPr>
            <w:r>
              <w:rPr>
                <w:rFonts w:ascii="Calibri" w:hAnsi="Calibri" w:cs="Calibri"/>
                <w:color w:val="000000"/>
                <w:sz w:val="17"/>
                <w:szCs w:val="17"/>
              </w:rPr>
              <w:t xml:space="preserve">Propuesta previa, GitHub, plantillas de la asignatura</w:t>
            </w:r>
          </w:p>
        </w:tc>
        <w:tc>
          <w:tcPr>
            <w:tcW w:w="1276" w:type="dxa"/>
          </w:tcPr>
          <w:p>
            <w:pPr>
              <w:spacing w:before="0" w:after="40" w:line="264" w:lineRule="auto"/>
              <w:jc w:val="left"/>
            </w:pPr>
            <w:r>
              <w:rPr>
                <w:rFonts w:ascii="Calibri" w:hAnsi="Calibri" w:cs="Calibri"/>
                <w:color w:val="000000"/>
                <w:sz w:val="17"/>
                <w:szCs w:val="17"/>
              </w:rPr>
              <w:t xml:space="preserve">Semanas 1 a 2</w:t>
            </w:r>
          </w:p>
        </w:tc>
        <w:tc>
          <w:tcPr>
            <w:tcW w:w="1275" w:type="dxa"/>
          </w:tcPr>
          <w:p>
            <w:pPr>
              <w:spacing w:before="0" w:after="40" w:line="264" w:lineRule="auto"/>
              <w:jc w:val="left"/>
            </w:pPr>
            <w:r>
              <w:rPr>
                <w:rFonts w:ascii="Calibri" w:hAnsi="Calibri" w:cs="Calibri"/>
                <w:color w:val="000000"/>
                <w:sz w:val="17"/>
                <w:szCs w:val="17"/>
              </w:rPr>
              <w:t xml:space="preserve">Renato Pomeri</w:t>
            </w:r>
          </w:p>
        </w:tc>
        <w:tc>
          <w:tcPr>
            <w:tcW w:w="1276" w:type="dxa"/>
          </w:tcPr>
          <w:p>
            <w:pPr>
              <w:spacing w:before="0" w:after="40" w:line="264" w:lineRule="auto"/>
              <w:jc w:val="left"/>
            </w:pPr>
            <w:r>
              <w:rPr>
                <w:rFonts w:ascii="Calibri" w:hAnsi="Calibri" w:cs="Calibri"/>
                <w:color w:val="000000"/>
                <w:sz w:val="17"/>
                <w:szCs w:val="17"/>
              </w:rPr>
              <w:t xml:space="preserve">Facilitó el vínculo directo con la compañía.</w:t>
            </w:r>
          </w:p>
        </w:tc>
        <w:tc>
          <w:tcPr>
            <w:tcW w:w="1418" w:type="dxa"/>
          </w:tcPr>
          <w:p>
            <w:pPr>
              <w:spacing w:before="0" w:after="40" w:line="264" w:lineRule="auto"/>
              <w:jc w:val="left"/>
            </w:pPr>
            <w:r>
              <w:rPr>
                <w:rFonts w:ascii="Calibri" w:hAnsi="Calibri" w:cs="Calibri"/>
                <w:color w:val="000000"/>
                <w:sz w:val="17"/>
                <w:szCs w:val="17"/>
              </w:rPr>
              <w:t xml:space="preserve">Completado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Ingeniería de requisitos</w:t>
            </w:r>
          </w:p>
        </w:tc>
        <w:tc>
          <w:tcPr>
            <w:tcW w:w="1077" w:type="dxa"/>
          </w:tcPr>
          <w:p>
            <w:pPr>
              <w:spacing w:before="0" w:after="40" w:line="264" w:lineRule="auto"/>
              <w:jc w:val="left"/>
            </w:pPr>
            <w:r>
              <w:rPr>
                <w:rFonts w:ascii="Calibri" w:hAnsi="Calibri" w:cs="Calibri"/>
                <w:color w:val="000000"/>
                <w:sz w:val="17"/>
                <w:szCs w:val="17"/>
              </w:rPr>
              <w:t xml:space="preserve">Levantamiento de requerimientos</w:t>
            </w:r>
          </w:p>
        </w:tc>
        <w:tc>
          <w:tcPr>
            <w:tcW w:w="1276" w:type="dxa"/>
          </w:tcPr>
          <w:p>
            <w:pPr>
              <w:spacing w:before="0" w:after="40" w:line="264" w:lineRule="auto"/>
              <w:jc w:val="left"/>
            </w:pPr>
            <w:r>
              <w:rPr>
                <w:rFonts w:ascii="Calibri" w:hAnsi="Calibri" w:cs="Calibri"/>
                <w:color w:val="000000"/>
                <w:sz w:val="17"/>
                <w:szCs w:val="17"/>
              </w:rPr>
              <w:t xml:space="preserve">Acceso al cuartel, pauta de entrevista, registros en papel y catastro de 585 fichas</w:t>
            </w:r>
          </w:p>
        </w:tc>
        <w:tc>
          <w:tcPr>
            <w:tcW w:w="1276" w:type="dxa"/>
          </w:tcPr>
          <w:p>
            <w:pPr>
              <w:spacing w:before="0" w:after="40" w:line="264" w:lineRule="auto"/>
              <w:jc w:val="left"/>
            </w:pPr>
            <w:r>
              <w:rPr>
                <w:rFonts w:ascii="Calibri" w:hAnsi="Calibri" w:cs="Calibri"/>
                <w:color w:val="000000"/>
                <w:sz w:val="17"/>
                <w:szCs w:val="17"/>
              </w:rPr>
              <w:t xml:space="preserve">Semanas 2 a 4</w:t>
            </w:r>
          </w:p>
        </w:tc>
        <w:tc>
          <w:tcPr>
            <w:tcW w:w="1275" w:type="dxa"/>
          </w:tcPr>
          <w:p>
            <w:pPr>
              <w:spacing w:before="0" w:after="40" w:line="264" w:lineRule="auto"/>
              <w:jc w:val="left"/>
            </w:pPr>
            <w:r>
              <w:rPr>
                <w:rFonts w:ascii="Calibri" w:hAnsi="Calibri" w:cs="Calibri"/>
                <w:color w:val="000000"/>
                <w:sz w:val="17"/>
                <w:szCs w:val="17"/>
              </w:rPr>
              <w:t xml:space="preserve">Renato Pomeri</w:t>
            </w:r>
          </w:p>
        </w:tc>
        <w:tc>
          <w:tcPr>
            <w:tcW w:w="1276" w:type="dxa"/>
          </w:tcPr>
          <w:p>
            <w:pPr>
              <w:spacing w:before="0" w:after="40" w:line="264" w:lineRule="auto"/>
              <w:jc w:val="left"/>
            </w:pPr>
            <w:r>
              <w:rPr>
                <w:rFonts w:ascii="Calibri" w:hAnsi="Calibri" w:cs="Calibri"/>
                <w:color w:val="000000"/>
                <w:sz w:val="17"/>
                <w:szCs w:val="17"/>
              </w:rPr>
              <w:t xml:space="preserve">El jefe de proyecto es voluntario de la compañía, lo que facilitó la observación directa.</w:t>
            </w:r>
          </w:p>
        </w:tc>
        <w:tc>
          <w:tcPr>
            <w:tcW w:w="1418" w:type="dxa"/>
          </w:tcPr>
          <w:p>
            <w:pPr>
              <w:spacing w:before="0" w:after="40" w:line="264" w:lineRule="auto"/>
              <w:jc w:val="left"/>
            </w:pPr>
            <w:r>
              <w:rPr>
                <w:rFonts w:ascii="Calibri" w:hAnsi="Calibri" w:cs="Calibri"/>
                <w:color w:val="000000"/>
                <w:sz w:val="17"/>
                <w:szCs w:val="17"/>
              </w:rPr>
              <w:t xml:space="preserve">Completado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Ingeniería de requisitos</w:t>
            </w:r>
          </w:p>
        </w:tc>
        <w:tc>
          <w:tcPr>
            <w:tcW w:w="1077" w:type="dxa"/>
          </w:tcPr>
          <w:p>
            <w:pPr>
              <w:spacing w:before="0" w:after="40" w:line="264" w:lineRule="auto"/>
              <w:jc w:val="left"/>
            </w:pPr>
            <w:r>
              <w:rPr>
                <w:rFonts w:ascii="Calibri" w:hAnsi="Calibri" w:cs="Calibri"/>
                <w:color w:val="000000"/>
                <w:sz w:val="17"/>
                <w:szCs w:val="17"/>
              </w:rPr>
              <w:t xml:space="preserve">Especificación y validación de requisitos</w:t>
            </w:r>
          </w:p>
        </w:tc>
        <w:tc>
          <w:tcPr>
            <w:tcW w:w="1276" w:type="dxa"/>
          </w:tcPr>
          <w:p>
            <w:pPr>
              <w:spacing w:before="0" w:after="40" w:line="264" w:lineRule="auto"/>
              <w:jc w:val="left"/>
            </w:pPr>
            <w:r>
              <w:rPr>
                <w:rFonts w:ascii="Calibri" w:hAnsi="Calibri" w:cs="Calibri"/>
                <w:color w:val="000000"/>
                <w:sz w:val="17"/>
                <w:szCs w:val="17"/>
              </w:rPr>
              <w:t xml:space="preserve">Plantilla ERS, reunión de validación con la jefatura</w:t>
            </w:r>
          </w:p>
        </w:tc>
        <w:tc>
          <w:tcPr>
            <w:tcW w:w="1276" w:type="dxa"/>
          </w:tcPr>
          <w:p>
            <w:pPr>
              <w:spacing w:before="0" w:after="40" w:line="264" w:lineRule="auto"/>
              <w:jc w:val="left"/>
            </w:pPr>
            <w:r>
              <w:rPr>
                <w:rFonts w:ascii="Calibri" w:hAnsi="Calibri" w:cs="Calibri"/>
                <w:color w:val="000000"/>
                <w:sz w:val="17"/>
                <w:szCs w:val="17"/>
              </w:rPr>
              <w:t xml:space="preserve">Semanas 3 a 4</w:t>
            </w:r>
          </w:p>
        </w:tc>
        <w:tc>
          <w:tcPr>
            <w:tcW w:w="1275" w:type="dxa"/>
          </w:tcPr>
          <w:p>
            <w:pPr>
              <w:spacing w:before="0" w:after="40" w:line="264" w:lineRule="auto"/>
              <w:jc w:val="left"/>
            </w:pPr>
            <w:r>
              <w:rPr>
                <w:rFonts w:ascii="Calibri" w:hAnsi="Calibri" w:cs="Calibri"/>
                <w:color w:val="000000"/>
                <w:sz w:val="17"/>
                <w:szCs w:val="17"/>
              </w:rPr>
              <w:t xml:space="preserve">Renato Pomeri</w:t>
            </w:r>
          </w:p>
        </w:tc>
        <w:tc>
          <w:tcPr>
            <w:tcW w:w="1276" w:type="dxa"/>
          </w:tcPr>
          <w:p>
            <w:pPr>
              <w:spacing w:before="0" w:after="40" w:line="264" w:lineRule="auto"/>
              <w:jc w:val="left"/>
            </w:pPr>
            <w:r>
              <w:rPr>
                <w:rFonts w:ascii="Calibri" w:hAnsi="Calibri" w:cs="Calibri"/>
                <w:color w:val="000000"/>
                <w:sz w:val="17"/>
                <w:szCs w:val="17"/>
              </w:rPr>
              <w:t xml:space="preserve">El análisis de casos de uso reveló dos requisitos faltantes.</w:t>
            </w:r>
          </w:p>
        </w:tc>
        <w:tc>
          <w:tcPr>
            <w:tcW w:w="1418" w:type="dxa"/>
          </w:tcPr>
          <w:p>
            <w:pPr>
              <w:spacing w:before="0" w:after="40" w:line="264" w:lineRule="auto"/>
              <w:jc w:val="left"/>
            </w:pPr>
            <w:r>
              <w:rPr>
                <w:rFonts w:ascii="Calibri" w:hAnsi="Calibri" w:cs="Calibri"/>
                <w:color w:val="000000"/>
                <w:sz w:val="17"/>
                <w:szCs w:val="17"/>
              </w:rPr>
              <w:t xml:space="preserve">Ajustada</w:t>
            </w:r>
          </w:p>
        </w:tc>
        <w:tc>
          <w:tcPr>
            <w:tcW w:w="850" w:type="dxa"/>
          </w:tcPr>
          <w:p>
            <w:pPr>
              <w:spacing w:before="0" w:after="40" w:line="264" w:lineRule="auto"/>
              <w:jc w:val="left"/>
            </w:pPr>
            <w:r>
              <w:rPr>
                <w:rFonts w:ascii="Calibri" w:hAnsi="Calibri" w:cs="Calibri"/>
                <w:color w:val="000000"/>
                <w:sz w:val="17"/>
                <w:szCs w:val="17"/>
              </w:rPr>
              <w:t xml:space="preserve">Se reabrió en la semana 8: ERS v1.0 con RF-11 y RF-12. Falta la firma del acta por la contraparte.</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Bases de datos</w:t>
            </w:r>
          </w:p>
        </w:tc>
        <w:tc>
          <w:tcPr>
            <w:tcW w:w="1077" w:type="dxa"/>
          </w:tcPr>
          <w:p>
            <w:pPr>
              <w:spacing w:before="0" w:after="40" w:line="264" w:lineRule="auto"/>
              <w:jc w:val="left"/>
            </w:pPr>
            <w:r>
              <w:rPr>
                <w:rFonts w:ascii="Calibri" w:hAnsi="Calibri" w:cs="Calibri"/>
                <w:color w:val="000000"/>
                <w:sz w:val="17"/>
                <w:szCs w:val="17"/>
              </w:rPr>
              <w:t xml:space="preserve">Diseño del modelo de datos</w:t>
            </w:r>
          </w:p>
        </w:tc>
        <w:tc>
          <w:tcPr>
            <w:tcW w:w="1276" w:type="dxa"/>
          </w:tcPr>
          <w:p>
            <w:pPr>
              <w:spacing w:before="0" w:after="40" w:line="264" w:lineRule="auto"/>
              <w:jc w:val="left"/>
            </w:pPr>
            <w:r>
              <w:rPr>
                <w:rFonts w:ascii="Calibri" w:hAnsi="Calibri" w:cs="Calibri"/>
                <w:color w:val="000000"/>
                <w:sz w:val="17"/>
                <w:szCs w:val="17"/>
              </w:rPr>
              <w:t xml:space="preserve">Herramienta de modelado, ERS</w:t>
            </w:r>
          </w:p>
        </w:tc>
        <w:tc>
          <w:tcPr>
            <w:tcW w:w="1276" w:type="dxa"/>
          </w:tcPr>
          <w:p>
            <w:pPr>
              <w:spacing w:before="0" w:after="40" w:line="264" w:lineRule="auto"/>
              <w:jc w:val="left"/>
            </w:pPr>
            <w:r>
              <w:rPr>
                <w:rFonts w:ascii="Calibri" w:hAnsi="Calibri" w:cs="Calibri"/>
                <w:color w:val="000000"/>
                <w:sz w:val="17"/>
                <w:szCs w:val="17"/>
              </w:rPr>
              <w:t xml:space="preserve">Semanas 5 a 6</w:t>
            </w:r>
          </w:p>
        </w:tc>
        <w:tc>
          <w:tcPr>
            <w:tcW w:w="1275" w:type="dxa"/>
          </w:tcPr>
          <w:p>
            <w:pPr>
              <w:spacing w:before="0" w:after="40" w:line="264" w:lineRule="auto"/>
              <w:jc w:val="left"/>
            </w:pPr>
            <w:r>
              <w:rPr>
                <w:rFonts w:ascii="Calibri" w:hAnsi="Calibri" w:cs="Calibri"/>
                <w:color w:val="000000"/>
                <w:sz w:val="17"/>
                <w:szCs w:val="17"/>
              </w:rPr>
              <w:t xml:space="preserve">Fernando Molina</w:t>
            </w:r>
          </w:p>
        </w:tc>
        <w:tc>
          <w:tcPr>
            <w:tcW w:w="1276" w:type="dxa"/>
          </w:tcPr>
          <w:p>
            <w:pPr>
              <w:spacing w:before="0" w:after="40" w:line="264" w:lineRule="auto"/>
              <w:jc w:val="left"/>
            </w:pPr>
            <w:r>
              <w:rPr>
                <w:rFonts w:ascii="Calibri" w:hAnsi="Calibri" w:cs="Calibri"/>
                <w:color w:val="000000"/>
                <w:sz w:val="17"/>
                <w:szCs w:val="17"/>
              </w:rPr>
              <w:t xml:space="preserve">El código institucional existente redujo el riesgo de diseño.</w:t>
            </w:r>
          </w:p>
        </w:tc>
        <w:tc>
          <w:tcPr>
            <w:tcW w:w="1418" w:type="dxa"/>
          </w:tcPr>
          <w:p>
            <w:pPr>
              <w:spacing w:before="0" w:after="40" w:line="264" w:lineRule="auto"/>
              <w:jc w:val="left"/>
            </w:pPr>
            <w:r>
              <w:rPr>
                <w:rFonts w:ascii="Calibri" w:hAnsi="Calibri" w:cs="Calibri"/>
                <w:color w:val="000000"/>
                <w:sz w:val="17"/>
                <w:szCs w:val="17"/>
              </w:rPr>
              <w:t xml:space="preserve">Completado</w:t>
            </w:r>
          </w:p>
        </w:tc>
        <w:tc>
          <w:tcPr>
            <w:tcW w:w="850" w:type="dxa"/>
          </w:tcPr>
          <w:p>
            <w:pPr>
              <w:spacing w:before="0" w:after="40" w:line="264" w:lineRule="auto"/>
              <w:jc w:val="left"/>
            </w:pPr>
            <w:r>
              <w:rPr>
                <w:rFonts w:ascii="Calibri" w:hAnsi="Calibri" w:cs="Calibri"/>
                <w:color w:val="000000"/>
                <w:sz w:val="17"/>
                <w:szCs w:val="17"/>
              </w:rPr>
              <w:t xml:space="preserve">Se agregó el MER conceptual, exigido aparte del relacional; el relacional se actualizó el 06/10.</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Diseño de soluciones de software</w:t>
            </w:r>
          </w:p>
        </w:tc>
        <w:tc>
          <w:tcPr>
            <w:tcW w:w="1077" w:type="dxa"/>
          </w:tcPr>
          <w:p>
            <w:pPr>
              <w:spacing w:before="0" w:after="40" w:line="264" w:lineRule="auto"/>
              <w:jc w:val="left"/>
            </w:pPr>
            <w:r>
              <w:rPr>
                <w:rFonts w:ascii="Calibri" w:hAnsi="Calibri" w:cs="Calibri"/>
                <w:color w:val="000000"/>
                <w:sz w:val="17"/>
                <w:szCs w:val="17"/>
              </w:rPr>
              <w:t xml:space="preserve">Diseño de arquitectura e interfaces</w:t>
            </w:r>
          </w:p>
        </w:tc>
        <w:tc>
          <w:tcPr>
            <w:tcW w:w="1276" w:type="dxa"/>
          </w:tcPr>
          <w:p>
            <w:pPr>
              <w:spacing w:before="0" w:after="40" w:line="264" w:lineRule="auto"/>
              <w:jc w:val="left"/>
            </w:pPr>
            <w:r>
              <w:rPr>
                <w:rFonts w:ascii="Calibri" w:hAnsi="Calibri" w:cs="Calibri"/>
                <w:color w:val="000000"/>
                <w:sz w:val="17"/>
                <w:szCs w:val="17"/>
              </w:rPr>
              <w:t xml:space="preserve">Herramientas de modelado, prototipo en HTML y Bootstrap</w:t>
            </w:r>
          </w:p>
        </w:tc>
        <w:tc>
          <w:tcPr>
            <w:tcW w:w="1276" w:type="dxa"/>
          </w:tcPr>
          <w:p>
            <w:pPr>
              <w:spacing w:before="0" w:after="40" w:line="264" w:lineRule="auto"/>
              <w:jc w:val="left"/>
            </w:pPr>
            <w:r>
              <w:rPr>
                <w:rFonts w:ascii="Calibri" w:hAnsi="Calibri" w:cs="Calibri"/>
                <w:color w:val="000000"/>
                <w:sz w:val="17"/>
                <w:szCs w:val="17"/>
              </w:rPr>
              <w:t xml:space="preserve">Semanas 6 a 7</w:t>
            </w:r>
          </w:p>
        </w:tc>
        <w:tc>
          <w:tcPr>
            <w:tcW w:w="1275" w:type="dxa"/>
          </w:tcPr>
          <w:p>
            <w:pPr>
              <w:spacing w:before="0" w:after="40" w:line="264" w:lineRule="auto"/>
              <w:jc w:val="left"/>
            </w:pPr>
            <w:r>
              <w:rPr>
                <w:rFonts w:ascii="Calibri" w:hAnsi="Calibri" w:cs="Calibri"/>
                <w:color w:val="000000"/>
                <w:sz w:val="17"/>
                <w:szCs w:val="17"/>
              </w:rPr>
              <w:t xml:space="preserve">Fabián Fica</w:t>
            </w:r>
          </w:p>
        </w:tc>
        <w:tc>
          <w:tcPr>
            <w:tcW w:w="1276" w:type="dxa"/>
          </w:tcPr>
          <w:p>
            <w:pPr>
              <w:spacing w:before="0" w:after="40" w:line="264" w:lineRule="auto"/>
              <w:jc w:val="left"/>
            </w:pPr>
            <w:r>
              <w:rPr>
                <w:rFonts w:ascii="Calibri" w:hAnsi="Calibri" w:cs="Calibri"/>
                <w:color w:val="000000"/>
                <w:sz w:val="17"/>
                <w:szCs w:val="17"/>
              </w:rPr>
              <w:t xml:space="preserve">El volumen de diagramas del DAS fue mayor al estimado.</w:t>
            </w:r>
          </w:p>
        </w:tc>
        <w:tc>
          <w:tcPr>
            <w:tcW w:w="1418" w:type="dxa"/>
          </w:tcPr>
          <w:p>
            <w:pPr>
              <w:spacing w:before="0" w:after="40" w:line="264" w:lineRule="auto"/>
              <w:jc w:val="left"/>
            </w:pPr>
            <w:r>
              <w:rPr>
                <w:rFonts w:ascii="Calibri" w:hAnsi="Calibri" w:cs="Calibri"/>
                <w:color w:val="000000"/>
                <w:sz w:val="17"/>
                <w:szCs w:val="17"/>
              </w:rPr>
              <w:t xml:space="preserve">Completado</w:t>
            </w:r>
          </w:p>
        </w:tc>
        <w:tc>
          <w:tcPr>
            <w:tcW w:w="850" w:type="dxa"/>
          </w:tcPr>
          <w:p>
            <w:pPr>
              <w:spacing w:before="0" w:after="40" w:line="264" w:lineRule="auto"/>
              <w:jc w:val="left"/>
            </w:pPr>
            <w:r>
              <w:rPr>
                <w:rFonts w:ascii="Calibri" w:hAnsi="Calibri" w:cs="Calibri"/>
                <w:color w:val="000000"/>
                <w:sz w:val="17"/>
                <w:szCs w:val="17"/>
              </w:rPr>
              <w:t xml:space="preserve">Cerró en la semana 8 (DAS v1.0, 08/10), con una semana de desfase.</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Desarrollo de soluciones de software</w:t>
            </w:r>
          </w:p>
        </w:tc>
        <w:tc>
          <w:tcPr>
            <w:tcW w:w="1077" w:type="dxa"/>
          </w:tcPr>
          <w:p>
            <w:pPr>
              <w:spacing w:before="0" w:after="40" w:line="264" w:lineRule="auto"/>
              <w:jc w:val="left"/>
            </w:pPr>
            <w:r>
              <w:rPr>
                <w:rFonts w:ascii="Calibri" w:hAnsi="Calibri" w:cs="Calibri"/>
                <w:color w:val="000000"/>
                <w:sz w:val="17"/>
                <w:szCs w:val="17"/>
              </w:rPr>
              <w:t xml:space="preserve">Construcción del módulo de usuarios y accesos</w:t>
            </w:r>
          </w:p>
        </w:tc>
        <w:tc>
          <w:tcPr>
            <w:tcW w:w="1276" w:type="dxa"/>
          </w:tcPr>
          <w:p>
            <w:pPr>
              <w:spacing w:before="0" w:after="40" w:line="264" w:lineRule="auto"/>
              <w:jc w:val="left"/>
            </w:pPr>
            <w:r>
              <w:rPr>
                <w:rFonts w:ascii="Calibri" w:hAnsi="Calibri" w:cs="Calibri"/>
                <w:color w:val="000000"/>
                <w:sz w:val="17"/>
                <w:szCs w:val="17"/>
              </w:rPr>
              <w:t xml:space="preserve">Entorno de desarrollo, Django 5.2, repositorio GitHub</w:t>
            </w:r>
          </w:p>
        </w:tc>
        <w:tc>
          <w:tcPr>
            <w:tcW w:w="1276" w:type="dxa"/>
          </w:tcPr>
          <w:p>
            <w:pPr>
              <w:spacing w:before="0" w:after="40" w:line="264" w:lineRule="auto"/>
              <w:jc w:val="left"/>
            </w:pPr>
            <w:r>
              <w:rPr>
                <w:rFonts w:ascii="Calibri" w:hAnsi="Calibri" w:cs="Calibri"/>
                <w:color w:val="000000"/>
                <w:sz w:val="17"/>
                <w:szCs w:val="17"/>
              </w:rPr>
              <w:t xml:space="preserve">Semanas 7 a 8</w:t>
            </w:r>
          </w:p>
        </w:tc>
        <w:tc>
          <w:tcPr>
            <w:tcW w:w="1275" w:type="dxa"/>
          </w:tcPr>
          <w:p>
            <w:pPr>
              <w:spacing w:before="0" w:after="40" w:line="264" w:lineRule="auto"/>
              <w:jc w:val="left"/>
            </w:pPr>
            <w:r>
              <w:rPr>
                <w:rFonts w:ascii="Calibri" w:hAnsi="Calibri" w:cs="Calibri"/>
                <w:color w:val="000000"/>
                <w:sz w:val="17"/>
                <w:szCs w:val="17"/>
              </w:rPr>
              <w:t xml:space="preserve">Fernando Molina</w:t>
            </w:r>
          </w:p>
        </w:tc>
        <w:tc>
          <w:tcPr>
            <w:tcW w:w="1276" w:type="dxa"/>
          </w:tcPr>
          <w:p>
            <w:pPr>
              <w:spacing w:before="0" w:after="40" w:line="264" w:lineRule="auto"/>
              <w:jc w:val="left"/>
            </w:pPr>
            <w:r>
              <w:rPr>
                <w:rFonts w:ascii="Calibri" w:hAnsi="Calibri" w:cs="Calibri"/>
                <w:color w:val="000000"/>
                <w:sz w:val="17"/>
                <w:szCs w:val="17"/>
              </w:rPr>
              <w:t xml:space="preserve">Depende del diseño cerrado; el desfase del DAS lo retrasó.</w:t>
            </w:r>
          </w:p>
        </w:tc>
        <w:tc>
          <w:tcPr>
            <w:tcW w:w="1418" w:type="dxa"/>
          </w:tcPr>
          <w:p>
            <w:pPr>
              <w:spacing w:before="0" w:after="40" w:line="264" w:lineRule="auto"/>
              <w:jc w:val="left"/>
            </w:pPr>
            <w:r>
              <w:rPr>
                <w:rFonts w:ascii="Calibri" w:hAnsi="Calibri" w:cs="Calibri"/>
                <w:color w:val="000000"/>
                <w:sz w:val="17"/>
                <w:szCs w:val="17"/>
              </w:rPr>
              <w:t xml:space="preserve">Con retraso</w:t>
            </w:r>
          </w:p>
        </w:tc>
        <w:tc>
          <w:tcPr>
            <w:tcW w:w="850" w:type="dxa"/>
          </w:tcPr>
          <w:p>
            <w:pPr>
              <w:spacing w:before="0" w:after="40" w:line="264" w:lineRule="auto"/>
              <w:jc w:val="left"/>
            </w:pPr>
            <w:r>
              <w:rPr>
                <w:rFonts w:ascii="Calibri" w:hAnsi="Calibri" w:cs="Calibri"/>
                <w:color w:val="000000"/>
                <w:sz w:val="17"/>
                <w:szCs w:val="17"/>
              </w:rPr>
              <w:t xml:space="preserve">Se reprograma a las semanas 9 y 10, apoyado en la autenticación y la administración que trae Django.</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Desarrollo de soluciones de software</w:t>
            </w:r>
          </w:p>
        </w:tc>
        <w:tc>
          <w:tcPr>
            <w:tcW w:w="1077" w:type="dxa"/>
          </w:tcPr>
          <w:p>
            <w:pPr>
              <w:spacing w:before="0" w:after="40" w:line="264" w:lineRule="auto"/>
              <w:jc w:val="left"/>
            </w:pPr>
            <w:r>
              <w:rPr>
                <w:rFonts w:ascii="Calibri" w:hAnsi="Calibri" w:cs="Calibri"/>
                <w:color w:val="000000"/>
                <w:sz w:val="17"/>
                <w:szCs w:val="17"/>
              </w:rPr>
              <w:t xml:space="preserve">Construcción del módulo de inventario</w:t>
            </w:r>
          </w:p>
        </w:tc>
        <w:tc>
          <w:tcPr>
            <w:tcW w:w="1276" w:type="dxa"/>
          </w:tcPr>
          <w:p>
            <w:pPr>
              <w:spacing w:before="0" w:after="40" w:line="264" w:lineRule="auto"/>
              <w:jc w:val="left"/>
            </w:pPr>
            <w:r>
              <w:rPr>
                <w:rFonts w:ascii="Calibri" w:hAnsi="Calibri" w:cs="Calibri"/>
                <w:color w:val="000000"/>
                <w:sz w:val="17"/>
                <w:szCs w:val="17"/>
              </w:rPr>
              <w:t xml:space="preserve">Entorno de desarrollo, catastro de material</w:t>
            </w:r>
          </w:p>
        </w:tc>
        <w:tc>
          <w:tcPr>
            <w:tcW w:w="1276" w:type="dxa"/>
          </w:tcPr>
          <w:p>
            <w:pPr>
              <w:spacing w:before="0" w:after="40" w:line="264" w:lineRule="auto"/>
              <w:jc w:val="left"/>
            </w:pPr>
            <w:r>
              <w:rPr>
                <w:rFonts w:ascii="Calibri" w:hAnsi="Calibri" w:cs="Calibri"/>
                <w:color w:val="000000"/>
                <w:sz w:val="17"/>
                <w:szCs w:val="17"/>
              </w:rPr>
              <w:t xml:space="preserve">Semanas 8 a 10</w:t>
            </w:r>
          </w:p>
        </w:tc>
        <w:tc>
          <w:tcPr>
            <w:tcW w:w="1275" w:type="dxa"/>
          </w:tcPr>
          <w:p>
            <w:pPr>
              <w:spacing w:before="0" w:after="40" w:line="264" w:lineRule="auto"/>
              <w:jc w:val="left"/>
            </w:pPr>
            <w:r>
              <w:rPr>
                <w:rFonts w:ascii="Calibri" w:hAnsi="Calibri" w:cs="Calibri"/>
                <w:color w:val="000000"/>
                <w:sz w:val="17"/>
                <w:szCs w:val="17"/>
              </w:rPr>
              <w:t xml:space="preserve">Fernando Molina y Fabián Fica</w:t>
            </w:r>
          </w:p>
        </w:tc>
        <w:tc>
          <w:tcPr>
            <w:tcW w:w="1276" w:type="dxa"/>
          </w:tcPr>
          <w:p>
            <w:pPr>
              <w:spacing w:before="0" w:after="40" w:line="264" w:lineRule="auto"/>
              <w:jc w:val="left"/>
            </w:pPr>
            <w:r>
              <w:rPr>
                <w:rFonts w:ascii="Calibri" w:hAnsi="Calibri" w:cs="Calibri"/>
                <w:color w:val="000000"/>
                <w:sz w:val="17"/>
                <w:szCs w:val="17"/>
              </w:rPr>
              <w:t xml:space="preserve">El levantamiento físico es extenso; se priorizan los equipos con revisión periódica.</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Se reprograma a las semanas 9 a 11, en paralelo con accesos.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Desarrollo de soluciones de software</w:t>
            </w:r>
          </w:p>
        </w:tc>
        <w:tc>
          <w:tcPr>
            <w:tcW w:w="1077" w:type="dxa"/>
          </w:tcPr>
          <w:p>
            <w:pPr>
              <w:spacing w:before="0" w:after="40" w:line="264" w:lineRule="auto"/>
              <w:jc w:val="left"/>
            </w:pPr>
            <w:r>
              <w:rPr>
                <w:rFonts w:ascii="Calibri" w:hAnsi="Calibri" w:cs="Calibri"/>
                <w:color w:val="000000"/>
                <w:sz w:val="17"/>
                <w:szCs w:val="17"/>
              </w:rPr>
              <w:t xml:space="preserve">Construcción del módulo de revisiones periódicas</w:t>
            </w:r>
          </w:p>
        </w:tc>
        <w:tc>
          <w:tcPr>
            <w:tcW w:w="1276" w:type="dxa"/>
          </w:tcPr>
          <w:p>
            <w:pPr>
              <w:spacing w:before="0" w:after="40" w:line="264" w:lineRule="auto"/>
              <w:jc w:val="left"/>
            </w:pPr>
            <w:r>
              <w:rPr>
                <w:rFonts w:ascii="Calibri" w:hAnsi="Calibri" w:cs="Calibri"/>
                <w:color w:val="000000"/>
                <w:sz w:val="17"/>
                <w:szCs w:val="17"/>
              </w:rPr>
              <w:t xml:space="preserve">Entorno de desarrollo, fichas de revisión validadas</w:t>
            </w:r>
          </w:p>
        </w:tc>
        <w:tc>
          <w:tcPr>
            <w:tcW w:w="1276" w:type="dxa"/>
          </w:tcPr>
          <w:p>
            <w:pPr>
              <w:spacing w:before="0" w:after="40" w:line="264" w:lineRule="auto"/>
              <w:jc w:val="left"/>
            </w:pPr>
            <w:r>
              <w:rPr>
                <w:rFonts w:ascii="Calibri" w:hAnsi="Calibri" w:cs="Calibri"/>
                <w:color w:val="000000"/>
                <w:sz w:val="17"/>
                <w:szCs w:val="17"/>
              </w:rPr>
              <w:t xml:space="preserve">Semanas 10 a 12</w:t>
            </w:r>
          </w:p>
        </w:tc>
        <w:tc>
          <w:tcPr>
            <w:tcW w:w="1275" w:type="dxa"/>
          </w:tcPr>
          <w:p>
            <w:pPr>
              <w:spacing w:before="0" w:after="40" w:line="264" w:lineRule="auto"/>
              <w:jc w:val="left"/>
            </w:pPr>
            <w:r>
              <w:rPr>
                <w:rFonts w:ascii="Calibri" w:hAnsi="Calibri" w:cs="Calibri"/>
                <w:color w:val="000000"/>
                <w:sz w:val="17"/>
                <w:szCs w:val="17"/>
              </w:rPr>
              <w:t xml:space="preserve">Fernando Molina y Fabián Fica</w:t>
            </w:r>
          </w:p>
        </w:tc>
        <w:tc>
          <w:tcPr>
            <w:tcW w:w="1276" w:type="dxa"/>
          </w:tcPr>
          <w:p>
            <w:pPr>
              <w:spacing w:before="0" w:after="40" w:line="264" w:lineRule="auto"/>
              <w:jc w:val="left"/>
            </w:pPr>
            <w:r>
              <w:rPr>
                <w:rFonts w:ascii="Calibri" w:hAnsi="Calibri" w:cs="Calibri"/>
                <w:color w:val="000000"/>
                <w:sz w:val="17"/>
                <w:szCs w:val="17"/>
              </w:rPr>
              <w:t xml:space="preserve">Requiere las fichas de revisión aprobadas por la jefatura.</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Se mantiene en las semanas 11 a 12.</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Desarrollo de soluciones de software</w:t>
            </w:r>
          </w:p>
        </w:tc>
        <w:tc>
          <w:tcPr>
            <w:tcW w:w="1077" w:type="dxa"/>
          </w:tcPr>
          <w:p>
            <w:pPr>
              <w:spacing w:before="0" w:after="40" w:line="264" w:lineRule="auto"/>
              <w:jc w:val="left"/>
            </w:pPr>
            <w:r>
              <w:rPr>
                <w:rFonts w:ascii="Calibri" w:hAnsi="Calibri" w:cs="Calibri"/>
                <w:color w:val="000000"/>
                <w:sz w:val="17"/>
                <w:szCs w:val="17"/>
              </w:rPr>
              <w:t xml:space="preserve">Construcción de notificaciones, panel y reportes</w:t>
            </w:r>
          </w:p>
        </w:tc>
        <w:tc>
          <w:tcPr>
            <w:tcW w:w="1276" w:type="dxa"/>
          </w:tcPr>
          <w:p>
            <w:pPr>
              <w:spacing w:before="0" w:after="40" w:line="264" w:lineRule="auto"/>
              <w:jc w:val="left"/>
            </w:pPr>
            <w:r>
              <w:rPr>
                <w:rFonts w:ascii="Calibri" w:hAnsi="Calibri" w:cs="Calibri"/>
                <w:color w:val="000000"/>
                <w:sz w:val="17"/>
                <w:szCs w:val="17"/>
              </w:rPr>
              <w:t xml:space="preserve">Entorno de desarrollo, datos de prueba</w:t>
            </w:r>
          </w:p>
        </w:tc>
        <w:tc>
          <w:tcPr>
            <w:tcW w:w="1276" w:type="dxa"/>
          </w:tcPr>
          <w:p>
            <w:pPr>
              <w:spacing w:before="0" w:after="40" w:line="264" w:lineRule="auto"/>
              <w:jc w:val="left"/>
            </w:pPr>
            <w:r>
              <w:rPr>
                <w:rFonts w:ascii="Calibri" w:hAnsi="Calibri" w:cs="Calibri"/>
                <w:color w:val="000000"/>
                <w:sz w:val="17"/>
                <w:szCs w:val="17"/>
              </w:rPr>
              <w:t xml:space="preserve">Semanas 12 a 13</w:t>
            </w:r>
          </w:p>
        </w:tc>
        <w:tc>
          <w:tcPr>
            <w:tcW w:w="1275" w:type="dxa"/>
          </w:tcPr>
          <w:p>
            <w:pPr>
              <w:spacing w:before="0" w:after="40" w:line="264" w:lineRule="auto"/>
              <w:jc w:val="left"/>
            </w:pPr>
            <w:r>
              <w:rPr>
                <w:rFonts w:ascii="Calibri" w:hAnsi="Calibri" w:cs="Calibri"/>
                <w:color w:val="000000"/>
                <w:sz w:val="17"/>
                <w:szCs w:val="17"/>
              </w:rPr>
              <w:t xml:space="preserve">Fabián Fica</w:t>
            </w:r>
          </w:p>
        </w:tc>
        <w:tc>
          <w:tcPr>
            <w:tcW w:w="1276" w:type="dxa"/>
          </w:tcPr>
          <w:p>
            <w:pPr>
              <w:spacing w:before="0" w:after="40" w:line="264" w:lineRule="auto"/>
              <w:jc w:val="left"/>
            </w:pPr>
            <w:r>
              <w:rPr>
                <w:rFonts w:ascii="Calibri" w:hAnsi="Calibri" w:cs="Calibri"/>
                <w:color w:val="000000"/>
                <w:sz w:val="17"/>
                <w:szCs w:val="17"/>
              </w:rPr>
              <w:t xml:space="preserve">Requiere revisiones acumuladas para probar los indicadores.</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Se mantiene. Si hay atraso, se posterga la exportación de reportes (RF-10, prioridad media).</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Calidad de software</w:t>
            </w:r>
          </w:p>
        </w:tc>
        <w:tc>
          <w:tcPr>
            <w:tcW w:w="1077" w:type="dxa"/>
          </w:tcPr>
          <w:p>
            <w:pPr>
              <w:spacing w:before="0" w:after="40" w:line="264" w:lineRule="auto"/>
              <w:jc w:val="left"/>
            </w:pPr>
            <w:r>
              <w:rPr>
                <w:rFonts w:ascii="Calibri" w:hAnsi="Calibri" w:cs="Calibri"/>
                <w:color w:val="000000"/>
                <w:sz w:val="17"/>
                <w:szCs w:val="17"/>
              </w:rPr>
              <w:t xml:space="preserve">Ejecución del plan de pruebas</w:t>
            </w:r>
          </w:p>
        </w:tc>
        <w:tc>
          <w:tcPr>
            <w:tcW w:w="1276" w:type="dxa"/>
          </w:tcPr>
          <w:p>
            <w:pPr>
              <w:spacing w:before="0" w:after="40" w:line="264" w:lineRule="auto"/>
              <w:jc w:val="left"/>
            </w:pPr>
            <w:r>
              <w:rPr>
                <w:rFonts w:ascii="Calibri" w:hAnsi="Calibri" w:cs="Calibri"/>
                <w:color w:val="000000"/>
                <w:sz w:val="17"/>
                <w:szCs w:val="17"/>
              </w:rPr>
              <w:t xml:space="preserve">Plan de pruebas ISO/IEC 25010, k6, pytest</w:t>
            </w:r>
          </w:p>
        </w:tc>
        <w:tc>
          <w:tcPr>
            <w:tcW w:w="1276" w:type="dxa"/>
          </w:tcPr>
          <w:p>
            <w:pPr>
              <w:spacing w:before="0" w:after="40" w:line="264" w:lineRule="auto"/>
              <w:jc w:val="left"/>
            </w:pPr>
            <w:r>
              <w:rPr>
                <w:rFonts w:ascii="Calibri" w:hAnsi="Calibri" w:cs="Calibri"/>
                <w:color w:val="000000"/>
                <w:sz w:val="17"/>
                <w:szCs w:val="17"/>
              </w:rPr>
              <w:t xml:space="preserve">Semanas 13 a 14</w:t>
            </w:r>
          </w:p>
        </w:tc>
        <w:tc>
          <w:tcPr>
            <w:tcW w:w="1275" w:type="dxa"/>
          </w:tcPr>
          <w:p>
            <w:pPr>
              <w:spacing w:before="0" w:after="40" w:line="264" w:lineRule="auto"/>
              <w:jc w:val="left"/>
            </w:pPr>
            <w:r>
              <w:rPr>
                <w:rFonts w:ascii="Calibri" w:hAnsi="Calibri" w:cs="Calibri"/>
                <w:color w:val="000000"/>
                <w:sz w:val="17"/>
                <w:szCs w:val="17"/>
              </w:rPr>
              <w:t xml:space="preserve">Fabián Fica</w:t>
            </w:r>
          </w:p>
        </w:tc>
        <w:tc>
          <w:tcPr>
            <w:tcW w:w="1276" w:type="dxa"/>
          </w:tcPr>
          <w:p>
            <w:pPr>
              <w:spacing w:before="0" w:after="40" w:line="264" w:lineRule="auto"/>
              <w:jc w:val="left"/>
            </w:pPr>
            <w:r>
              <w:rPr>
                <w:rFonts w:ascii="Calibri" w:hAnsi="Calibri" w:cs="Calibri"/>
                <w:color w:val="000000"/>
                <w:sz w:val="17"/>
                <w:szCs w:val="17"/>
              </w:rPr>
              <w:t xml:space="preserve">Requiere disponibilidad de bomberos para la aceptación.</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Calidad de software</w:t>
            </w:r>
          </w:p>
        </w:tc>
        <w:tc>
          <w:tcPr>
            <w:tcW w:w="1077" w:type="dxa"/>
          </w:tcPr>
          <w:p>
            <w:pPr>
              <w:spacing w:before="0" w:after="40" w:line="264" w:lineRule="auto"/>
              <w:jc w:val="left"/>
            </w:pPr>
            <w:r>
              <w:rPr>
                <w:rFonts w:ascii="Calibri" w:hAnsi="Calibri" w:cs="Calibri"/>
                <w:color w:val="000000"/>
                <w:sz w:val="17"/>
                <w:szCs w:val="17"/>
              </w:rPr>
              <w:t xml:space="preserve">Corrección de hallazgos</w:t>
            </w:r>
          </w:p>
        </w:tc>
        <w:tc>
          <w:tcPr>
            <w:tcW w:w="1276" w:type="dxa"/>
          </w:tcPr>
          <w:p>
            <w:pPr>
              <w:spacing w:before="0" w:after="40" w:line="264" w:lineRule="auto"/>
              <w:jc w:val="left"/>
            </w:pPr>
            <w:r>
              <w:rPr>
                <w:rFonts w:ascii="Calibri" w:hAnsi="Calibri" w:cs="Calibri"/>
                <w:color w:val="000000"/>
                <w:sz w:val="17"/>
                <w:szCs w:val="17"/>
              </w:rPr>
              <w:t xml:space="preserve">Registro de hallazgos</w:t>
            </w:r>
          </w:p>
        </w:tc>
        <w:tc>
          <w:tcPr>
            <w:tcW w:w="1276" w:type="dxa"/>
          </w:tcPr>
          <w:p>
            <w:pPr>
              <w:spacing w:before="0" w:after="40" w:line="264" w:lineRule="auto"/>
              <w:jc w:val="left"/>
            </w:pPr>
            <w:r>
              <w:rPr>
                <w:rFonts w:ascii="Calibri" w:hAnsi="Calibri" w:cs="Calibri"/>
                <w:color w:val="000000"/>
                <w:sz w:val="17"/>
                <w:szCs w:val="17"/>
              </w:rPr>
              <w:t xml:space="preserve">Semana 14</w:t>
            </w:r>
          </w:p>
        </w:tc>
        <w:tc>
          <w:tcPr>
            <w:tcW w:w="1275" w:type="dxa"/>
          </w:tcPr>
          <w:p>
            <w:pPr>
              <w:spacing w:before="0" w:after="40" w:line="264" w:lineRule="auto"/>
              <w:jc w:val="left"/>
            </w:pPr>
            <w:r>
              <w:rPr>
                <w:rFonts w:ascii="Calibri" w:hAnsi="Calibri" w:cs="Calibri"/>
                <w:color w:val="000000"/>
                <w:sz w:val="17"/>
                <w:szCs w:val="17"/>
              </w:rPr>
              <w:t xml:space="preserve">Fernando Molina y Fabián Fica</w:t>
            </w:r>
          </w:p>
        </w:tc>
        <w:tc>
          <w:tcPr>
            <w:tcW w:w="1276" w:type="dxa"/>
          </w:tcPr>
          <w:p>
            <w:pPr>
              <w:spacing w:before="0" w:after="40" w:line="264" w:lineRule="auto"/>
              <w:jc w:val="left"/>
            </w:pPr>
            <w:r>
              <w:rPr>
                <w:rFonts w:ascii="Calibri" w:hAnsi="Calibri" w:cs="Calibri"/>
                <w:color w:val="000000"/>
                <w:sz w:val="17"/>
                <w:szCs w:val="17"/>
              </w:rPr>
              <w:t xml:space="preserve">Plazo acotado: se prioriza por criticidad.</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Gestión de proyectos informáticos</w:t>
            </w:r>
          </w:p>
        </w:tc>
        <w:tc>
          <w:tcPr>
            <w:tcW w:w="1077" w:type="dxa"/>
          </w:tcPr>
          <w:p>
            <w:pPr>
              <w:spacing w:before="0" w:after="40" w:line="264" w:lineRule="auto"/>
              <w:jc w:val="left"/>
            </w:pPr>
            <w:r>
              <w:rPr>
                <w:rFonts w:ascii="Calibri" w:hAnsi="Calibri" w:cs="Calibri"/>
                <w:color w:val="000000"/>
                <w:sz w:val="17"/>
                <w:szCs w:val="17"/>
              </w:rPr>
              <w:t xml:space="preserve">Despliegue, carga inicial y capacitación</w:t>
            </w:r>
          </w:p>
        </w:tc>
        <w:tc>
          <w:tcPr>
            <w:tcW w:w="1276" w:type="dxa"/>
          </w:tcPr>
          <w:p>
            <w:pPr>
              <w:spacing w:before="0" w:after="40" w:line="264" w:lineRule="auto"/>
              <w:jc w:val="left"/>
            </w:pPr>
            <w:r>
              <w:rPr>
                <w:rFonts w:ascii="Calibri" w:hAnsi="Calibri" w:cs="Calibri"/>
                <w:color w:val="000000"/>
                <w:sz w:val="17"/>
                <w:szCs w:val="17"/>
              </w:rPr>
              <w:t xml:space="preserve">Servidor y red del cuartel, Docker Compose</w:t>
            </w:r>
          </w:p>
        </w:tc>
        <w:tc>
          <w:tcPr>
            <w:tcW w:w="1276" w:type="dxa"/>
          </w:tcPr>
          <w:p>
            <w:pPr>
              <w:spacing w:before="0" w:after="40" w:line="264" w:lineRule="auto"/>
              <w:jc w:val="left"/>
            </w:pPr>
            <w:r>
              <w:rPr>
                <w:rFonts w:ascii="Calibri" w:hAnsi="Calibri" w:cs="Calibri"/>
                <w:color w:val="000000"/>
                <w:sz w:val="17"/>
                <w:szCs w:val="17"/>
              </w:rPr>
              <w:t xml:space="preserve">Semanas 14 a 15</w:t>
            </w:r>
          </w:p>
        </w:tc>
        <w:tc>
          <w:tcPr>
            <w:tcW w:w="1275" w:type="dxa"/>
          </w:tcPr>
          <w:p>
            <w:pPr>
              <w:spacing w:before="0" w:after="40" w:line="264" w:lineRule="auto"/>
              <w:jc w:val="left"/>
            </w:pPr>
            <w:r>
              <w:rPr>
                <w:rFonts w:ascii="Calibri" w:hAnsi="Calibri" w:cs="Calibri"/>
                <w:color w:val="000000"/>
                <w:sz w:val="17"/>
                <w:szCs w:val="17"/>
              </w:rPr>
              <w:t xml:space="preserve">Renato Pomeri</w:t>
            </w:r>
          </w:p>
        </w:tc>
        <w:tc>
          <w:tcPr>
            <w:tcW w:w="1276" w:type="dxa"/>
          </w:tcPr>
          <w:p>
            <w:pPr>
              <w:spacing w:before="0" w:after="40" w:line="264" w:lineRule="auto"/>
              <w:jc w:val="left"/>
            </w:pPr>
            <w:r>
              <w:rPr>
                <w:rFonts w:ascii="Calibri" w:hAnsi="Calibri" w:cs="Calibri"/>
                <w:color w:val="000000"/>
                <w:sz w:val="17"/>
                <w:szCs w:val="17"/>
              </w:rPr>
              <w:t xml:space="preserve">Posible resistencia al cambio frente al papel.</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Gestión de proyectos informáticos</w:t>
            </w:r>
          </w:p>
        </w:tc>
        <w:tc>
          <w:tcPr>
            <w:tcW w:w="1077" w:type="dxa"/>
          </w:tcPr>
          <w:p>
            <w:pPr>
              <w:spacing w:before="0" w:after="40" w:line="264" w:lineRule="auto"/>
              <w:jc w:val="left"/>
            </w:pPr>
            <w:r>
              <w:rPr>
                <w:rFonts w:ascii="Calibri" w:hAnsi="Calibri" w:cs="Calibri"/>
                <w:color w:val="000000"/>
                <w:sz w:val="17"/>
                <w:szCs w:val="17"/>
              </w:rPr>
              <w:t xml:space="preserve">Documentación e informe final</w:t>
            </w:r>
          </w:p>
        </w:tc>
        <w:tc>
          <w:tcPr>
            <w:tcW w:w="1276" w:type="dxa"/>
          </w:tcPr>
          <w:p>
            <w:pPr>
              <w:spacing w:before="0" w:after="40" w:line="264" w:lineRule="auto"/>
              <w:jc w:val="left"/>
            </w:pPr>
            <w:r>
              <w:rPr>
                <w:rFonts w:ascii="Calibri" w:hAnsi="Calibri" w:cs="Calibri"/>
                <w:color w:val="000000"/>
                <w:sz w:val="17"/>
                <w:szCs w:val="17"/>
              </w:rPr>
              <w:t xml:space="preserve">Documentación de cada etapa, repositorio</w:t>
            </w:r>
          </w:p>
        </w:tc>
        <w:tc>
          <w:tcPr>
            <w:tcW w:w="1276" w:type="dxa"/>
          </w:tcPr>
          <w:p>
            <w:pPr>
              <w:spacing w:before="0" w:after="40" w:line="264" w:lineRule="auto"/>
              <w:jc w:val="left"/>
            </w:pPr>
            <w:r>
              <w:rPr>
                <w:rFonts w:ascii="Calibri" w:hAnsi="Calibri" w:cs="Calibri"/>
                <w:color w:val="000000"/>
                <w:sz w:val="17"/>
                <w:szCs w:val="17"/>
              </w:rPr>
              <w:t xml:space="preserve">Semana 15</w:t>
            </w:r>
          </w:p>
        </w:tc>
        <w:tc>
          <w:tcPr>
            <w:tcW w:w="1275" w:type="dxa"/>
          </w:tcPr>
          <w:p>
            <w:pPr>
              <w:spacing w:before="0" w:after="40" w:line="264" w:lineRule="auto"/>
              <w:jc w:val="left"/>
            </w:pPr>
            <w:r>
              <w:rPr>
                <w:rFonts w:ascii="Calibri" w:hAnsi="Calibri" w:cs="Calibri"/>
                <w:color w:val="000000"/>
                <w:sz w:val="17"/>
                <w:szCs w:val="17"/>
              </w:rPr>
              <w:t xml:space="preserve">Renato Pomeri</w:t>
            </w:r>
          </w:p>
        </w:tc>
        <w:tc>
          <w:tcPr>
            <w:tcW w:w="1276" w:type="dxa"/>
          </w:tcPr>
          <w:p>
            <w:pPr>
              <w:spacing w:before="0" w:after="40" w:line="264" w:lineRule="auto"/>
              <w:jc w:val="left"/>
            </w:pPr>
            <w:r>
              <w:rPr>
                <w:rFonts w:ascii="Calibri" w:hAnsi="Calibri" w:cs="Calibri"/>
                <w:color w:val="000000"/>
                <w:sz w:val="17"/>
                <w:szCs w:val="17"/>
              </w:rPr>
              <w:t xml:space="preserve">ERS y DAS ya adelantan gran parte del manual técnico.</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Sin ajustes.</w:t>
            </w:r>
          </w:p>
        </w:tc>
      </w:tr>
      <w:tr>
        <w:trPr>
          <w:trHeight w:val="2410"/>
        </w:trPr>
        <w:tc>
          <w:tcPr>
            <w:tcW w:w="1328" w:type="dxa"/>
          </w:tcPr>
          <w:p>
            <w:pPr>
              <w:spacing w:before="0" w:after="40" w:line="264" w:lineRule="auto"/>
              <w:jc w:val="left"/>
            </w:pPr>
            <w:r>
              <w:rPr>
                <w:rFonts w:ascii="Calibri" w:hAnsi="Calibri" w:cs="Calibri"/>
                <w:color w:val="000000"/>
                <w:sz w:val="17"/>
                <w:szCs w:val="17"/>
              </w:rPr>
              <w:t xml:space="preserve">Comunicación oral y escrita</w:t>
            </w:r>
          </w:p>
        </w:tc>
        <w:tc>
          <w:tcPr>
            <w:tcW w:w="1077" w:type="dxa"/>
          </w:tcPr>
          <w:p>
            <w:pPr>
              <w:spacing w:before="0" w:after="40" w:line="264" w:lineRule="auto"/>
              <w:jc w:val="left"/>
            </w:pPr>
            <w:r>
              <w:rPr>
                <w:rFonts w:ascii="Calibri" w:hAnsi="Calibri" w:cs="Calibri"/>
                <w:color w:val="000000"/>
                <w:sz w:val="17"/>
                <w:szCs w:val="17"/>
              </w:rPr>
              <w:t xml:space="preserve">Preparación y presentación a la comisión</w:t>
            </w:r>
          </w:p>
        </w:tc>
        <w:tc>
          <w:tcPr>
            <w:tcW w:w="1276" w:type="dxa"/>
          </w:tcPr>
          <w:p>
            <w:pPr>
              <w:spacing w:before="0" w:after="40" w:line="264" w:lineRule="auto"/>
              <w:jc w:val="left"/>
            </w:pPr>
            <w:r>
              <w:rPr>
                <w:rFonts w:ascii="Calibri" w:hAnsi="Calibri" w:cs="Calibri"/>
                <w:color w:val="000000"/>
                <w:sz w:val="17"/>
                <w:szCs w:val="17"/>
              </w:rPr>
              <w:t xml:space="preserve">Material de presentación, sistema en operación</w:t>
            </w:r>
          </w:p>
        </w:tc>
        <w:tc>
          <w:tcPr>
            <w:tcW w:w="1276" w:type="dxa"/>
          </w:tcPr>
          <w:p>
            <w:pPr>
              <w:spacing w:before="0" w:after="40" w:line="264" w:lineRule="auto"/>
              <w:jc w:val="left"/>
            </w:pPr>
            <w:r>
              <w:rPr>
                <w:rFonts w:ascii="Calibri" w:hAnsi="Calibri" w:cs="Calibri"/>
                <w:color w:val="000000"/>
                <w:sz w:val="17"/>
                <w:szCs w:val="17"/>
              </w:rPr>
              <w:t xml:space="preserve">Semanas 16 a 18</w:t>
            </w:r>
          </w:p>
        </w:tc>
        <w:tc>
          <w:tcPr>
            <w:tcW w:w="1275" w:type="dxa"/>
          </w:tcPr>
          <w:p>
            <w:pPr>
              <w:spacing w:before="0" w:after="40" w:line="264" w:lineRule="auto"/>
              <w:jc w:val="left"/>
            </w:pPr>
            <w:r>
              <w:rPr>
                <w:rFonts w:ascii="Calibri" w:hAnsi="Calibri" w:cs="Calibri"/>
                <w:color w:val="000000"/>
                <w:sz w:val="17"/>
                <w:szCs w:val="17"/>
              </w:rPr>
              <w:t xml:space="preserve">Equipo completo</w:t>
            </w:r>
          </w:p>
        </w:tc>
        <w:tc>
          <w:tcPr>
            <w:tcW w:w="1276" w:type="dxa"/>
          </w:tcPr>
          <w:p>
            <w:pPr>
              <w:spacing w:before="0" w:after="40" w:line="264" w:lineRule="auto"/>
              <w:jc w:val="left"/>
            </w:pPr>
            <w:r>
              <w:rPr>
                <w:rFonts w:ascii="Calibri" w:hAnsi="Calibri" w:cs="Calibri"/>
                <w:color w:val="000000"/>
                <w:sz w:val="17"/>
                <w:szCs w:val="17"/>
              </w:rPr>
              <w:t xml:space="preserve">Presentación individual ante comisión.</w:t>
            </w:r>
          </w:p>
        </w:tc>
        <w:tc>
          <w:tcPr>
            <w:tcW w:w="1418" w:type="dxa"/>
          </w:tcPr>
          <w:p>
            <w:pPr>
              <w:spacing w:before="0" w:after="40" w:line="264" w:lineRule="auto"/>
              <w:jc w:val="left"/>
            </w:pPr>
            <w:r>
              <w:rPr>
                <w:rFonts w:ascii="Calibri" w:hAnsi="Calibri" w:cs="Calibri"/>
                <w:color w:val="000000"/>
                <w:sz w:val="17"/>
                <w:szCs w:val="17"/>
              </w:rPr>
              <w:t xml:space="preserve">No iniciado</w:t>
            </w:r>
          </w:p>
        </w:tc>
        <w:tc>
          <w:tcPr>
            <w:tcW w:w="850" w:type="dxa"/>
          </w:tcPr>
          <w:p>
            <w:pPr>
              <w:spacing w:before="0" w:after="40" w:line="264" w:lineRule="auto"/>
              <w:jc w:val="left"/>
            </w:pPr>
            <w:r>
              <w:rPr>
                <w:rFonts w:ascii="Calibri" w:hAnsi="Calibri" w:cs="Calibri"/>
                <w:color w:val="000000"/>
                <w:sz w:val="17"/>
                <w:szCs w:val="17"/>
              </w:rPr>
              <w:t xml:space="preserve">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pPr>
              <w:spacing w:before="0" w:after="100" w:line="264" w:lineRule="auto"/>
              <w:jc w:val="both"/>
            </w:pPr>
          </w:p>
          <w:p>
            <w:pPr>
              <w:spacing w:before="0" w:after="100" w:line="264" w:lineRule="auto"/>
              <w:jc w:val="both"/>
            </w:pPr>
            <w:r>
              <w:rPr>
                <w:rFonts w:ascii="Calibri" w:hAnsi="Calibri" w:cs="Calibri"/>
                <w:b/>
                <w:bCs/>
                <w:color w:val="000000"/>
                <w:sz w:val="20"/>
                <w:szCs w:val="20"/>
              </w:rPr>
              <w:t xml:space="preserve">Facilitadores.</w:t>
            </w:r>
          </w:p>
          <w:p>
            <w:pPr>
              <w:spacing w:before="0" w:after="60" w:line="264" w:lineRule="auto"/>
              <w:ind w:left="284" w:hanging="284"/>
              <w:jc w:val="both"/>
            </w:pPr>
            <w:r>
              <w:rPr>
                <w:rFonts w:ascii="Calibri" w:hAnsi="Calibri" w:cs="Calibri"/>
                <w:color w:val="000000"/>
                <w:sz w:val="20"/>
                <w:szCs w:val="20"/>
              </w:rPr>
              <w:t xml:space="preserve">•  El jefe de proyecto es voluntario de la Octava Compañía: el acceso al cuartel, al material y a la jefatura es directo, lo que permitió levantar el proceso real y validar decisiones en el lugar donde operará el sistema.</w:t>
            </w:r>
          </w:p>
          <w:p>
            <w:pPr>
              <w:spacing w:before="0" w:after="60" w:line="264" w:lineRule="auto"/>
              <w:ind w:left="284" w:hanging="284"/>
              <w:jc w:val="both"/>
            </w:pPr>
            <w:r>
              <w:rPr>
                <w:rFonts w:ascii="Calibri" w:hAnsi="Calibri" w:cs="Calibri"/>
                <w:color w:val="000000"/>
                <w:sz w:val="20"/>
                <w:szCs w:val="20"/>
              </w:rPr>
              <w:t xml:space="preserve">•  El catastro de 585 fichas y el código institucional ya existentes dieron una base concreta al modelo de datos y confirmaron que la identificación debía apoyarse en ese código (solo 75 fichas tienen número de serie).</w:t>
            </w:r>
          </w:p>
          <w:p>
            <w:pPr>
              <w:spacing w:before="0" w:after="60" w:line="264" w:lineRule="auto"/>
              <w:ind w:left="284" w:hanging="284"/>
              <w:jc w:val="both"/>
            </w:pPr>
            <w:r>
              <w:rPr>
                <w:rFonts w:ascii="Calibri" w:hAnsi="Calibri" w:cs="Calibri"/>
                <w:color w:val="000000"/>
                <w:sz w:val="20"/>
                <w:szCs w:val="20"/>
              </w:rPr>
              <w:t xml:space="preserve">•  La definición de Django 5.2 reduce la construcción: la autenticación, el ORM, las migraciones y el panel de administración vienen incluidos.</w:t>
            </w:r>
          </w:p>
          <w:p>
            <w:pPr>
              <w:spacing w:before="0" w:after="60" w:line="264" w:lineRule="auto"/>
              <w:ind w:left="284" w:hanging="284"/>
              <w:jc w:val="both"/>
            </w:pPr>
            <w:r>
              <w:rPr>
                <w:rFonts w:ascii="Calibri" w:hAnsi="Calibri" w:cs="Calibri"/>
                <w:color w:val="000000"/>
                <w:sz w:val="20"/>
                <w:szCs w:val="20"/>
              </w:rPr>
              <w:t xml:space="preserve">•  El prototipo se construyó en HTML y Bootstrap, por lo que sus pantallas se reutilizan como plantillas.</w:t>
            </w:r>
          </w:p>
          <w:p>
            <w:pPr>
              <w:spacing w:before="0" w:after="100" w:line="264" w:lineRule="auto"/>
              <w:jc w:val="both"/>
            </w:pPr>
            <w:r>
              <w:rPr>
                <w:rFonts w:ascii="Calibri" w:hAnsi="Calibri" w:cs="Calibri"/>
                <w:b/>
                <w:bCs/>
                <w:color w:val="000000"/>
                <w:sz w:val="20"/>
                <w:szCs w:val="20"/>
              </w:rPr>
              <w:t xml:space="preserve">Dificultades y acciones.</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El diseño tomó más de lo previsto.</w:t>
            </w:r>
            <w:r>
              <w:rPr>
                <w:rFonts w:ascii="Calibri" w:hAnsi="Calibri" w:cs="Calibri"/>
                <w:color w:val="000000"/>
                <w:sz w:val="20"/>
                <w:szCs w:val="20"/>
              </w:rPr>
              <w:t xml:space="preserve"> El modelo de datos tuvo tres iteraciones (conceptual, relacional y corrección de roles) y el DAS exigió catorce diagramas. Acción: el diseño quedó cerrado y aprobado internamente; no se reabrirá salvo por un cambio de requisitos registrado.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Requisitos faltantes detectados tarde.</w:t>
            </w:r>
            <w:r>
              <w:rPr>
                <w:rFonts w:ascii="Calibri" w:hAnsi="Calibri" w:cs="Calibri"/>
                <w:color w:val="000000"/>
                <w:sz w:val="20"/>
                <w:szCs w:val="20"/>
              </w:rPr>
              <w:t xml:space="preserve"> La evidencia fotográfica y los hallazgos no tenían requisito. Acción: se incorporaron RF-11 y RF-12 y se ajustó el OE-02.</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Disponibilidad de la contraparte.</w:t>
            </w:r>
            <w:r>
              <w:rPr>
                <w:rFonts w:ascii="Calibri" w:hAnsi="Calibri" w:cs="Calibri"/>
                <w:color w:val="000000"/>
                <w:sz w:val="20"/>
                <w:szCs w:val="20"/>
              </w:rPr>
              <w:t xml:space="preserve"> El acta de validación de la ERS sigue sin firma. Acción: agendar la firma con la jefatura en la próxima instancia de la compañía.</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Aporte desigual visible en el repositorio.</w:t>
            </w:r>
            <w:r>
              <w:rPr>
                <w:rFonts w:ascii="Calibri" w:hAnsi="Calibri" w:cs="Calibri"/>
                <w:color w:val="000000"/>
                <w:sz w:val="20"/>
                <w:szCs w:val="20"/>
              </w:rPr>
              <w:t xml:space="preserve"> El historial de GitHub concentra la mayoría de los commits en una sola cuenta y no registra cambios desde el 24/09, aunque la ERS y el DAS se elaboraron después. Acción: subir la documentación de Fase 2 y adoptar desde la construcción el flujo de ramas y pull requests por integrante.</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before="0" w:after="100" w:line="264" w:lineRule="auto"/>
              <w:jc w:val="both"/>
            </w:pPr>
          </w:p>
          <w:p>
            <w:pPr>
              <w:spacing w:before="0" w:after="100" w:line="264" w:lineRule="auto"/>
              <w:jc w:val="both"/>
            </w:pPr>
            <w:r>
              <w:rPr>
                <w:rFonts w:ascii="Calibri" w:hAnsi="Calibri" w:cs="Calibri"/>
                <w:color w:val="000000"/>
                <w:sz w:val="20"/>
                <w:szCs w:val="20"/>
              </w:rPr>
              <w:t xml:space="preserve">No se eliminaron actividades. Se ajustaron cuatro: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Especificación y validación de requisitos:</w:t>
            </w:r>
            <w:r>
              <w:rPr>
                <w:rFonts w:ascii="Calibri" w:hAnsi="Calibri" w:cs="Calibri"/>
                <w:color w:val="000000"/>
                <w:sz w:val="20"/>
                <w:szCs w:val="20"/>
              </w:rPr>
              <w:t xml:space="preserve"> se reabrió en la Fase 2 para agregar RF-11 y RF-12. Era necesario para que los treinta casos de uso quedaran respaldados por un requisito.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Diseño del modelo de datos:</w:t>
            </w:r>
            <w:r>
              <w:rPr>
                <w:rFonts w:ascii="Calibri" w:hAnsi="Calibri" w:cs="Calibri"/>
                <w:color w:val="000000"/>
                <w:sz w:val="20"/>
                <w:szCs w:val="20"/>
              </w:rPr>
              <w:t xml:space="preserve"> se agregó el modelo conceptual, exigido como entregable aparte del modelo relacional, y se eliminó el rol «consulta», que ningún integrante de la compañía cumple.</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Diseño de arquitectura e interfaces:</w:t>
            </w:r>
            <w:r>
              <w:rPr>
                <w:rFonts w:ascii="Calibri" w:hAnsi="Calibri" w:cs="Calibri"/>
                <w:color w:val="000000"/>
                <w:sz w:val="20"/>
                <w:szCs w:val="20"/>
              </w:rPr>
              <w:t xml:space="preserve"> cerró en la semana 8, una semana después de lo planificado.</w:t>
            </w:r>
          </w:p>
          <w:p>
            <w:pPr>
              <w:spacing w:before="0" w:after="60" w:line="264" w:lineRule="auto"/>
              <w:ind w:left="284" w:hanging="284"/>
              <w:jc w:val="both"/>
            </w:pPr>
            <w:r>
              <w:rPr>
                <w:rFonts w:ascii="Calibri" w:hAnsi="Calibri" w:cs="Calibri"/>
                <w:color w:val="000000"/>
                <w:sz w:val="20"/>
                <w:szCs w:val="20"/>
              </w:rPr>
              <w:t xml:space="preserve">•  </w:t>
            </w:r>
            <w:r>
              <w:rPr>
                <w:rFonts w:ascii="Calibri" w:hAnsi="Calibri" w:cs="Calibri"/>
                <w:b/>
                <w:bCs/>
                <w:color w:val="000000"/>
                <w:sz w:val="20"/>
                <w:szCs w:val="20"/>
              </w:rPr>
              <w:t xml:space="preserve">Construcción de los módulos de accesos e inventario:</w:t>
            </w:r>
            <w:r>
              <w:rPr>
                <w:rFonts w:ascii="Calibri" w:hAnsi="Calibri" w:cs="Calibri"/>
                <w:color w:val="000000"/>
                <w:sz w:val="20"/>
                <w:szCs w:val="20"/>
              </w:rPr>
              <w:t xml:space="preserve"> se reprograman a las semanas 9 a 11, ejecutándose en paralelo y no en serie. El resto de la construcción, las pruebas y el despliegue conservan sus semanas, de modo que la implantación en el cuartel sigue prevista para la semana 15.</w:t>
            </w:r>
          </w:p>
          <w:p>
            <w:pPr>
              <w:spacing w:before="0" w:after="100" w:line="264" w:lineRule="auto"/>
              <w:jc w:val="both"/>
            </w:pPr>
            <w:r>
              <w:rPr>
                <w:rFonts w:ascii="Calibri" w:hAnsi="Calibri" w:cs="Calibri"/>
                <w:color w:val="000000"/>
                <w:sz w:val="20"/>
                <w:szCs w:val="20"/>
              </w:rPr>
              <w:t xml:space="preserve">El costo del ajuste es la holgura: el plan ya no tiene semanas libres. Por eso se definió de antemano qué postergar si hay más atraso: las funciones de prioridad media de la ERS (exportación de reportes, RF-10, y anulación de fotografías dentro de RF-11), nunca el núcleo de revisiones.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pPr>
              <w:spacing w:before="0" w:after="100" w:line="264" w:lineRule="auto"/>
              <w:jc w:val="both"/>
            </w:pPr>
          </w:p>
          <w:p>
            <w:pPr>
              <w:spacing w:before="0" w:after="100" w:line="264" w:lineRule="auto"/>
              <w:jc w:val="both"/>
            </w:pPr>
            <w:r>
              <w:rPr>
                <w:rFonts w:ascii="Calibri" w:hAnsi="Calibri" w:cs="Calibri"/>
                <w:b/>
                <w:bCs/>
                <w:color w:val="000000"/>
                <w:sz w:val="20"/>
                <w:szCs w:val="20"/>
              </w:rPr>
              <w:t xml:space="preserve">Con retraso: construcción del módulo de usuarios y accesos (planificado en las semanas 7 y 8).</w:t>
            </w:r>
          </w:p>
          <w:p>
            <w:pPr>
              <w:spacing w:before="0" w:after="100" w:line="264" w:lineRule="auto"/>
              <w:jc w:val="both"/>
            </w:pPr>
            <w:r>
              <w:rPr>
                <w:rFonts w:ascii="Calibri" w:hAnsi="Calibri" w:cs="Calibri"/>
                <w:b/>
                <w:bCs/>
                <w:color w:val="000000"/>
                <w:sz w:val="20"/>
                <w:szCs w:val="20"/>
              </w:rPr>
              <w:t xml:space="preserve">Motivo.</w:t>
            </w:r>
            <w:r>
              <w:rPr>
                <w:rFonts w:ascii="Calibri" w:hAnsi="Calibri" w:cs="Calibri"/>
                <w:color w:val="000000"/>
                <w:sz w:val="20"/>
                <w:szCs w:val="20"/>
              </w:rPr>
              <w:t xml:space="preserve"> La construcción depende del diseño cerrado, y el DAS se terminó el 08/10, una semana después de lo previsto. Además, la reapertura de la especificación y las iteraciones del modelo de datos consumieron el tiempo de las semanas 6 y 7.</w:t>
            </w:r>
          </w:p>
          <w:p>
            <w:pPr>
              <w:spacing w:before="0" w:after="100" w:line="264" w:lineRule="auto"/>
              <w:jc w:val="both"/>
            </w:pPr>
            <w:r>
              <w:rPr>
                <w:rFonts w:ascii="Calibri" w:hAnsi="Calibri" w:cs="Calibri"/>
                <w:b/>
                <w:bCs/>
                <w:color w:val="000000"/>
                <w:sz w:val="20"/>
                <w:szCs w:val="20"/>
              </w:rPr>
              <w:t xml:space="preserve">Estrategias para recuperar el plazo:</w:t>
            </w:r>
          </w:p>
          <w:p>
            <w:pPr>
              <w:spacing w:before="0" w:after="60" w:line="264" w:lineRule="auto"/>
              <w:ind w:left="284" w:hanging="284"/>
              <w:jc w:val="both"/>
            </w:pPr>
            <w:r>
              <w:rPr>
                <w:rFonts w:ascii="Calibri" w:hAnsi="Calibri" w:cs="Calibri"/>
                <w:color w:val="000000"/>
                <w:sz w:val="20"/>
                <w:szCs w:val="20"/>
              </w:rPr>
              <w:t xml:space="preserve">•  Iniciar de inmediato la configuración base del proyecto Django y los contenedores, de la que dependen todos los módulos.</w:t>
            </w:r>
          </w:p>
          <w:p>
            <w:pPr>
              <w:spacing w:before="0" w:after="60" w:line="264" w:lineRule="auto"/>
              <w:ind w:left="284" w:hanging="284"/>
              <w:jc w:val="both"/>
            </w:pPr>
            <w:r>
              <w:rPr>
                <w:rFonts w:ascii="Calibri" w:hAnsi="Calibri" w:cs="Calibri"/>
                <w:color w:val="000000"/>
                <w:sz w:val="20"/>
                <w:szCs w:val="20"/>
              </w:rPr>
              <w:t xml:space="preserve">•  Usar la autenticación, el modelo de usuarios y el panel de administración de Django en lugar de construirlos, lo que acorta el módulo de accesos.</w:t>
            </w:r>
          </w:p>
          <w:p>
            <w:pPr>
              <w:spacing w:before="0" w:after="60" w:line="264" w:lineRule="auto"/>
              <w:ind w:left="284" w:hanging="284"/>
              <w:jc w:val="both"/>
            </w:pPr>
            <w:r>
              <w:rPr>
                <w:rFonts w:ascii="Calibri" w:hAnsi="Calibri" w:cs="Calibri"/>
                <w:color w:val="000000"/>
                <w:sz w:val="20"/>
                <w:szCs w:val="20"/>
              </w:rPr>
              <w:t xml:space="preserve">•  Construir accesos e inventario en paralelo, una aplicación de Django por integrante, como permite la estructura de paquetes definida en el DAS.</w:t>
            </w:r>
          </w:p>
          <w:p>
            <w:pPr>
              <w:spacing w:before="0" w:after="60" w:line="264" w:lineRule="auto"/>
              <w:ind w:left="284" w:hanging="284"/>
              <w:jc w:val="both"/>
            </w:pPr>
            <w:r>
              <w:rPr>
                <w:rFonts w:ascii="Calibri" w:hAnsi="Calibri" w:cs="Calibri"/>
                <w:color w:val="000000"/>
                <w:sz w:val="20"/>
                <w:szCs w:val="20"/>
              </w:rPr>
              <w:t xml:space="preserve">•  Reutilizar el prototipo HTML como plantillas de la interfaz.</w:t>
            </w:r>
          </w:p>
          <w:p>
            <w:pPr>
              <w:spacing w:before="0" w:after="100" w:line="264" w:lineRule="auto"/>
              <w:jc w:val="both"/>
            </w:pPr>
            <w:r>
              <w:rPr>
                <w:rFonts w:ascii="Calibri" w:hAnsi="Calibri" w:cs="Calibri"/>
                <w:b/>
                <w:bCs/>
                <w:color w:val="000000"/>
                <w:sz w:val="20"/>
                <w:szCs w:val="20"/>
              </w:rPr>
              <w:t xml:space="preserve">No iniciadas en su plazo: construcción del módulo de inventario (semanas 8 a 10).</w:t>
            </w:r>
            <w:r>
              <w:rPr>
                <w:rFonts w:ascii="Calibri" w:hAnsi="Calibri" w:cs="Calibri"/>
                <w:color w:val="000000"/>
                <w:sz w:val="20"/>
                <w:szCs w:val="20"/>
              </w:rPr>
              <w:t xml:space="preserve"> Se inicia en la semana 9, en paralelo con accesos, con la carga del catastro priorizada en los equipos sometidos a revisión periódica.</w:t>
            </w:r>
          </w:p>
          <w:p>
            <w:pPr>
              <w:spacing w:before="0" w:after="100" w:line="264" w:lineRule="auto"/>
              <w:jc w:val="both"/>
            </w:pPr>
            <w:r>
              <w:rPr>
                <w:rFonts w:ascii="Calibri" w:hAnsi="Calibri" w:cs="Calibri"/>
                <w:b/>
                <w:bCs/>
                <w:color w:val="000000"/>
                <w:sz w:val="20"/>
                <w:szCs w:val="20"/>
              </w:rPr>
              <w:t xml:space="preserve">Pendiente de la etapa de especificación: firma del acta de validación de la ERS por la jefatura.</w:t>
            </w:r>
            <w:r>
              <w:rPr>
                <w:rFonts w:ascii="Calibri" w:hAnsi="Calibri" w:cs="Calibri"/>
                <w:color w:val="000000"/>
                <w:sz w:val="20"/>
                <w:szCs w:val="20"/>
              </w:rPr>
              <w:t xml:space="preserve"> Se gestionará esta semana; mientras tanto, la construcción comienza por los módulos de accesos e inventario, cuyos requisitos ya fueron revisados con la contraparte.</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