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String</w:t>
      </w:r>
      <w:r>
        <w:t xml:space="preserve"> </w:t>
      </w:r>
      <w:r>
        <w:t xml:space="preserve">Mathematics</w:t>
      </w:r>
      <w:r>
        <w:t xml:space="preserve"> </w:t>
      </w:r>
      <w:r>
        <w:t xml:space="preserve">—</w:t>
      </w:r>
      <w:r>
        <w:t xml:space="preserve"> </w:t>
      </w:r>
      <w:r>
        <w:t xml:space="preserve">Series</w:t>
      </w:r>
      <w:r>
        <w:t xml:space="preserve"> </w:t>
      </w:r>
      <w:r>
        <w:t xml:space="preserve">Summary</w:t>
      </w:r>
    </w:p>
    <w:p>
      <w:pPr>
        <w:pStyle w:val="Subtitle"/>
      </w:pPr>
      <w:r>
        <w:t xml:space="preserve">Modules</w:t>
      </w:r>
      <w:r>
        <w:t xml:space="preserve"> </w:t>
      </w:r>
      <w:r>
        <w:t xml:space="preserve">1</w:t>
      </w:r>
      <w:r>
        <w:t xml:space="preserve"> </w:t>
      </w:r>
      <w:r>
        <w:t xml:space="preserve">to</w:t>
      </w:r>
      <w:r>
        <w:t xml:space="preserve"> </w:t>
      </w:r>
      <w:r>
        <w:t xml:space="preserve">6:</w:t>
      </w:r>
      <w:r>
        <w:t xml:space="preserve"> </w:t>
      </w:r>
      <w:r>
        <w:t xml:space="preserve">the</w:t>
      </w:r>
      <w:r>
        <w:t xml:space="preserve"> </w:t>
      </w:r>
      <w:r>
        <w:t xml:space="preserve">arc,</w:t>
      </w:r>
      <w:r>
        <w:t xml:space="preserve"> </w:t>
      </w:r>
      <w:r>
        <w:t xml:space="preserve">the</w:t>
      </w:r>
      <w:r>
        <w:t xml:space="preserve"> </w:t>
      </w:r>
      <w:r>
        <w:t xml:space="preserve">results,</w:t>
      </w:r>
      <w:r>
        <w:t xml:space="preserve"> </w:t>
      </w:r>
      <w:r>
        <w:t xml:space="preserve">the</w:t>
      </w:r>
      <w:r>
        <w:t xml:space="preserve"> </w:t>
      </w:r>
      <w:r>
        <w:t xml:space="preserve">dependencies,</w:t>
      </w:r>
      <w:r>
        <w:t xml:space="preserve"> </w:t>
      </w:r>
      <w:r>
        <w:t xml:space="preserve">and</w:t>
      </w:r>
      <w:r>
        <w:t xml:space="preserve"> </w:t>
      </w:r>
      <w:r>
        <w:t xml:space="preserve">what</w:t>
      </w:r>
      <w:r>
        <w:t xml:space="preserve"> </w:t>
      </w:r>
      <w:r>
        <w:t xml:space="preserve">remains</w:t>
      </w:r>
      <w:r>
        <w:t xml:space="preserve"> </w:t>
      </w:r>
      <w:r>
        <w:t xml:space="preserve">open</w:t>
      </w:r>
    </w:p>
    <w:p>
      <w:pPr>
        <w:pStyle w:val="Author"/>
      </w:pPr>
      <w:r>
        <w:t xml:space="preserve">Prime</w:t>
      </w:r>
      <w:r>
        <w:t xml:space="preserve"> </w:t>
      </w:r>
      <w:r>
        <w:t xml:space="preserve">Framework</w:t>
      </w:r>
      <w:r>
        <w:t xml:space="preserve"> </w:t>
      </w:r>
      <w:r>
        <w:t xml:space="preserve">—</w:t>
      </w:r>
      <w:r>
        <w:t xml:space="preserve"> </w:t>
      </w:r>
      <w:r>
        <w:t xml:space="preserve">Syllabus-Learning</w:t>
      </w:r>
      <w:r>
        <w:t xml:space="preserve"> </w:t>
      </w:r>
      <w:r>
        <w:t xml:space="preserve">Series</w:t>
      </w:r>
    </w:p>
    <w:p>
      <w:pPr>
        <w:pStyle w:val="Date"/>
      </w:pPr>
      <w:r>
        <w:t xml:space="preserve">Series</w:t>
      </w:r>
      <w:r>
        <w:t xml:space="preserve"> </w:t>
      </w:r>
      <w:r>
        <w:t xml:space="preserve">Summary</w:t>
      </w:r>
      <w:r>
        <w:t xml:space="preserve"> </w:t>
      </w:r>
      <w:r>
        <w:t xml:space="preserve">—</w:t>
      </w:r>
      <w:r>
        <w:t xml:space="preserve"> </w:t>
      </w:r>
      <w:r>
        <w:t xml:space="preserve">covering</w:t>
      </w:r>
      <w:r>
        <w:t xml:space="preserve"> </w:t>
      </w:r>
      <w:r>
        <w:t xml:space="preserve">Modules</w:t>
      </w:r>
      <w:r>
        <w:t xml:space="preserve"> </w:t>
      </w:r>
      <w:r>
        <w:t xml:space="preserve">1</w:t>
      </w:r>
      <w:r>
        <w:t xml:space="preserve"> </w:t>
      </w:r>
      <w:r>
        <w:t xml:space="preserve">through</w:t>
      </w:r>
      <w:r>
        <w:t xml:space="preserve"> </w:t>
      </w:r>
      <w:r>
        <w:t xml:space="preserve">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string-mathematics-series-summary"/>
    <w:p>
      <w:pPr>
        <w:pStyle w:val="Heading1"/>
      </w:pPr>
      <w:r>
        <w:t xml:space="preserve">String Mathematics — Series Summary</w:t>
      </w:r>
    </w:p>
    <w:bookmarkStart w:id="20" w:name="modules-1-to-6"/>
    <w:p>
      <w:pPr>
        <w:pStyle w:val="Heading2"/>
      </w:pPr>
      <w:r>
        <w:t xml:space="preserve">Modules 1 to 6</w:t>
      </w:r>
    </w:p>
    <w:p>
      <w:pPr>
        <w:pStyle w:val="FirstParagraph"/>
      </w:pPr>
      <w:r>
        <w:rPr>
          <w:bCs/>
          <w:b/>
        </w:rPr>
        <w:t xml:space="preserve">This document is a map, not a module.</w:t>
      </w:r>
      <w:r>
        <w:t xml:space="preserve"> </w:t>
      </w:r>
      <w:r>
        <w:t xml:space="preserve">It teaches nothing new. It exists so that a reader arriving at the series can see its shape, find a result without hunting, and know what has been proved from what.</w:t>
      </w:r>
    </w:p>
    <w:p>
      <w:r>
        <w:pict>
          <v:rect style="width:0;height:1.5pt" o:hralign="center" o:hrstd="t" o:hr="t"/>
        </w:pict>
      </w:r>
    </w:p>
    <w:bookmarkEnd w:id="20"/>
    <w:bookmarkEnd w:id="21"/>
    <w:bookmarkStart w:id="23" w:name="the-arc"/>
    <w:p>
      <w:pPr>
        <w:pStyle w:val="Heading1"/>
      </w:pPr>
      <w:r>
        <w:t xml:space="preserve">1. The Arc</w:t>
      </w:r>
    </w:p>
    <w:p>
      <w:pPr>
        <w:pStyle w:val="FirstParagraph"/>
      </w:pPr>
      <w:r>
        <w:t xml:space="preserve">The series is built on one principle, which was not planned and became visible only in retrospect:</w:t>
      </w:r>
    </w:p>
    <w:p>
      <w:pPr>
        <w:pStyle w:val="Heading3"/>
      </w:pPr>
      <w:bookmarkStart w:id="22" w:name="X622f434398b2df87fc334756a31c939b10a0dd6"/>
      <w:r>
        <w:t xml:space="preserve">Each part questions something the part before it took for granted.</w:t>
      </w:r>
      <w:bookmarkEnd w:id="22"/>
    </w:p>
    <w:tbl>
      <w:tblPr>
        <w:tblStyle w:val="Table"/>
        <w:tblW w:type="pct" w:w="5000"/>
        <w:tblLook w:firstRow="1" w:lastRow="0" w:firstColumn="0" w:lastColumn="0" w:noHBand="0" w:noVBand="0" w:val="0020"/>
        <w:jc w:val="start"/>
      </w:tblPr>
      <w:tblGrid>
        <w:gridCol w:w="1504"/>
        <w:gridCol w:w="3009"/>
        <w:gridCol w:w="3405"/>
      </w:tblGrid>
      <w:tr>
        <w:trPr>
          <w:tblHeader w:val="true"/>
        </w:trPr>
        <w:tc>
          <w:tcPr/>
          <w:p>
            <w:pPr>
              <w:pStyle w:val="Compact"/>
              <w:jc w:val="left"/>
            </w:pPr>
            <w:r>
              <w:t xml:space="preserve">Modules</w:t>
            </w:r>
          </w:p>
        </w:tc>
        <w:tc>
          <w:tcPr/>
          <w:p>
            <w:pPr>
              <w:pStyle w:val="Compact"/>
              <w:jc w:val="left"/>
            </w:pPr>
            <w:r>
              <w:t xml:space="preserve">What they build</w:t>
            </w:r>
          </w:p>
        </w:tc>
        <w:tc>
          <w:tcPr/>
          <w:p>
            <w:pPr>
              <w:pStyle w:val="Compact"/>
              <w:jc w:val="left"/>
            </w:pPr>
            <w:r>
              <w:t xml:space="preserve">What they leave unquestioned</w:t>
            </w:r>
          </w:p>
        </w:tc>
      </w:tr>
      <w:tr>
        <w:tc>
          <w:tcPr/>
          <w:p>
            <w:pPr>
              <w:pStyle w:val="Compact"/>
              <w:jc w:val="left"/>
            </w:pPr>
            <w:r>
              <w:rPr>
                <w:bCs/>
                <w:b/>
              </w:rPr>
              <w:t xml:space="preserve">1 – 3</w:t>
            </w:r>
          </w:p>
        </w:tc>
        <w:tc>
          <w:tcPr/>
          <w:p>
            <w:pPr>
              <w:pStyle w:val="Compact"/>
              <w:jc w:val="left"/>
            </w:pPr>
            <w:r>
              <w:t xml:space="preserve">the instrument: lineages, Roots, tuning</w:t>
            </w:r>
          </w:p>
        </w:tc>
        <w:tc>
          <w:tcPr/>
          <w:p>
            <w:pPr>
              <w:pStyle w:val="Compact"/>
              <w:jc w:val="left"/>
            </w:pPr>
            <w:r>
              <w:t xml:space="preserve">what the</w:t>
            </w:r>
            <w:r>
              <w:t xml:space="preserve"> </w:t>
            </w:r>
            <w:r>
              <w:rPr>
                <w:iCs/>
                <w:i/>
              </w:rPr>
              <w:t xml:space="preserve">values</w:t>
            </w:r>
            <w:r>
              <w:t xml:space="preserve"> </w:t>
            </w:r>
            <w:r>
              <w:t xml:space="preserve">are — every one an ordinary base-ten integer</w:t>
            </w:r>
          </w:p>
        </w:tc>
      </w:tr>
      <w:tr>
        <w:tc>
          <w:tcPr/>
          <w:p>
            <w:pPr>
              <w:pStyle w:val="Compact"/>
              <w:jc w:val="left"/>
            </w:pPr>
            <w:r>
              <w:rPr>
                <w:bCs/>
                <w:b/>
              </w:rPr>
              <w:t xml:space="preserve">4 – 6</w:t>
            </w:r>
          </w:p>
        </w:tc>
        <w:tc>
          <w:tcPr/>
          <w:p>
            <w:pPr>
              <w:pStyle w:val="Compact"/>
              <w:jc w:val="left"/>
            </w:pPr>
            <w:r>
              <w:t xml:space="preserve">the number itself: registers, bases, digit sets</w:t>
            </w:r>
          </w:p>
        </w:tc>
        <w:tc>
          <w:tcPr/>
          <w:p>
            <w:pPr>
              <w:pStyle w:val="Compact"/>
              <w:jc w:val="left"/>
            </w:pPr>
            <w:r>
              <w:t xml:space="preserve">what the values are</w:t>
            </w:r>
            <w:r>
              <w:t xml:space="preserve"> </w:t>
            </w:r>
            <w:r>
              <w:rPr>
                <w:iCs/>
                <w:i/>
              </w:rPr>
              <w:t xml:space="preserve">made of</w:t>
            </w:r>
            <w:r>
              <w:t xml:space="preserve"> </w:t>
            </w:r>
            <w:r>
              <w:t xml:space="preserve">— still ordinary integers</w:t>
            </w:r>
          </w:p>
        </w:tc>
      </w:tr>
      <w:tr>
        <w:tc>
          <w:tcPr/>
          <w:p>
            <w:pPr>
              <w:pStyle w:val="Compact"/>
              <w:jc w:val="left"/>
            </w:pPr>
            <w:r>
              <w:rPr>
                <w:bCs/>
                <w:b/>
              </w:rPr>
              <w:t xml:space="preserve">next</w:t>
            </w:r>
          </w:p>
        </w:tc>
        <w:tc>
          <w:tcPr/>
          <w:p>
            <w:pPr>
              <w:pStyle w:val="Compact"/>
              <w:jc w:val="left"/>
            </w:pPr>
            <w:r>
              <w:t xml:space="preserve">the value domain</w:t>
            </w:r>
          </w:p>
        </w:tc>
        <w:tc>
          <w:tcPr/>
          <w:p>
            <w:pPr>
              <w:pStyle w:val="Compact"/>
              <w:jc w:val="left"/>
            </w:pPr>
            <w:r>
              <w:t xml:space="preserve">—</w:t>
            </w:r>
          </w:p>
        </w:tc>
      </w:tr>
    </w:tbl>
    <w:p>
      <w:pPr>
        <w:pStyle w:val="BodyText"/>
      </w:pPr>
      <w:r>
        <w:rPr>
          <w:bCs/>
          <w:b/>
        </w:rPr>
        <w:t xml:space="preserve">Modules 1–3 build an instrument</w:t>
      </w:r>
      <w:r>
        <w:t xml:space="preserve"> </w:t>
      </w:r>
      <w:r>
        <w:t xml:space="preserve">and point it at sequences. Difference, ratio, and the tuned comparison that contains both. Roots, Terminators, depth, and what a String Tree knows about its own damage.</w:t>
      </w:r>
    </w:p>
    <w:p>
      <w:pPr>
        <w:pStyle w:val="BodyText"/>
      </w:pPr>
      <w:r>
        <w:rPr>
          <w:bCs/>
          <w:b/>
        </w:rPr>
        <w:t xml:space="preserve">Modules 4–6 turn the instrument on number itself.</w:t>
      </w:r>
      <w:r>
        <w:t xml:space="preserve"> </w:t>
      </w:r>
      <w:r>
        <w:t xml:space="preserve">A base is a choice of alphabet, not a property of a quantity; carrying is presentation rather than arithmetic; and once you ask which digit set actually works, the answer forces a radix rather than permitting one.</w:t>
      </w:r>
    </w:p>
    <w:p>
      <w:r>
        <w:pict>
          <v:rect style="width:0;height:1.5pt" o:hralign="center" o:hrstd="t" o:hr="t"/>
        </w:pict>
      </w:r>
    </w:p>
    <w:bookmarkEnd w:id="23"/>
    <w:bookmarkStart w:id="24" w:name="reading-map"/>
    <w:p>
      <w:pPr>
        <w:pStyle w:val="Heading1"/>
      </w:pPr>
      <w:r>
        <w:t xml:space="preserve">2. Reading Map</w:t>
      </w:r>
    </w:p>
    <w:p>
      <w:pPr>
        <w:pStyle w:val="FirstParagraph"/>
      </w:pPr>
      <w:r>
        <w:rPr>
          <w:bCs/>
          <w:b/>
        </w:rPr>
        <w:t xml:space="preserve">Modules should be read in order the first time.</w:t>
      </w:r>
      <w:r>
        <w:t xml:space="preserve"> </w:t>
      </w:r>
      <w:r>
        <w:t xml:space="preserve">Afterwards, this is what actually depends on what:</w:t>
      </w:r>
    </w:p>
    <w:p>
      <w:pPr>
        <w:pStyle w:val="SourceCode"/>
      </w:pPr>
      <w:r>
        <w:rPr>
          <w:rStyle w:val="VerbatimChar"/>
        </w:rPr>
        <w:t xml:space="preserve">   Module 1  Foundations</w:t>
      </w:r>
      <w:r>
        <w:br/>
      </w:r>
      <w:r>
        <w:rPr>
          <w:rStyle w:val="VerbatimChar"/>
        </w:rPr>
        <w:t xml:space="preserve">      |  \</w:t>
      </w:r>
      <w:r>
        <w:br/>
      </w:r>
      <w:r>
        <w:rPr>
          <w:rStyle w:val="VerbatimChar"/>
        </w:rPr>
        <w:t xml:space="preserve">      |   \______________________</w:t>
      </w:r>
      <w:r>
        <w:br/>
      </w:r>
      <w:r>
        <w:rPr>
          <w:rStyle w:val="VerbatimChar"/>
        </w:rPr>
        <w:t xml:space="preserve">      |                          \</w:t>
      </w:r>
      <w:r>
        <w:br/>
      </w:r>
      <w:r>
        <w:rPr>
          <w:rStyle w:val="VerbatimChar"/>
        </w:rPr>
        <w:t xml:space="preserve">   Module 2  Ratio Lineage      Module 4  Number Without a Base</w:t>
      </w:r>
      <w:r>
        <w:br/>
      </w:r>
      <w:r>
        <w:rPr>
          <w:rStyle w:val="VerbatimChar"/>
        </w:rPr>
        <w:t xml:space="preserve">      |                              |</w:t>
      </w:r>
      <w:r>
        <w:br/>
      </w:r>
      <w:r>
        <w:rPr>
          <w:rStyle w:val="VerbatimChar"/>
        </w:rPr>
        <w:t xml:space="preserve">      |                              |</w:t>
      </w:r>
      <w:r>
        <w:br/>
      </w:r>
      <w:r>
        <w:rPr>
          <w:rStyle w:val="VerbatimChar"/>
        </w:rPr>
        <w:t xml:space="preserve">   Module 3  Tuned Comparisons   Module 6  Digit Sets</w:t>
      </w:r>
      <w:r>
        <w:br/>
      </w:r>
      <w:r>
        <w:rPr>
          <w:rStyle w:val="VerbatimChar"/>
        </w:rPr>
        <w:t xml:space="preserve">      |</w:t>
      </w:r>
      <w:r>
        <w:br/>
      </w:r>
      <w:r>
        <w:rPr>
          <w:rStyle w:val="VerbatimChar"/>
        </w:rPr>
        <w:t xml:space="preserve">   Module 5  Sum and Product</w:t>
      </w:r>
    </w:p>
    <w:tbl>
      <w:tblPr>
        <w:tblStyle w:val="Table"/>
        <w:tblW w:type="pct" w:w="5000"/>
        <w:tblLook w:firstRow="1" w:lastRow="0" w:firstColumn="0" w:lastColumn="0" w:noHBand="0" w:noVBand="0" w:val="0020"/>
        <w:jc w:val="start"/>
      </w:tblPr>
      <w:tblGrid>
        <w:gridCol w:w="1980"/>
        <w:gridCol w:w="2534"/>
        <w:gridCol w:w="3405"/>
      </w:tblGrid>
      <w:tr>
        <w:trPr>
          <w:tblHeader w:val="true"/>
        </w:trPr>
        <w:tc>
          <w:tcPr/>
          <w:p>
            <w:pPr>
              <w:pStyle w:val="Compact"/>
              <w:jc w:val="left"/>
            </w:pPr>
            <w:r>
              <w:t xml:space="preserve">Module</w:t>
            </w:r>
          </w:p>
        </w:tc>
        <w:tc>
          <w:tcPr/>
          <w:p>
            <w:pPr>
              <w:pStyle w:val="Compact"/>
              <w:jc w:val="left"/>
            </w:pPr>
            <w:r>
              <w:t xml:space="preserve">Requires</w:t>
            </w:r>
          </w:p>
        </w:tc>
        <w:tc>
          <w:tcPr/>
          <w:p>
            <w:pPr>
              <w:pStyle w:val="Compact"/>
              <w:jc w:val="left"/>
            </w:pPr>
            <w:r>
              <w:t xml:space="preserve">Does not require</w:t>
            </w:r>
          </w:p>
        </w:tc>
      </w:tr>
      <w:tr>
        <w:tc>
          <w:tcPr/>
          <w:p>
            <w:pPr>
              <w:pStyle w:val="Compact"/>
              <w:jc w:val="left"/>
            </w:pPr>
            <w:r>
              <w:rPr>
                <w:bCs/>
                <w:b/>
              </w:rPr>
              <w:t xml:space="preserve">1</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2</w:t>
            </w:r>
          </w:p>
        </w:tc>
        <w:tc>
          <w:tcPr/>
          <w:p>
            <w:pPr>
              <w:pStyle w:val="Compact"/>
              <w:jc w:val="left"/>
            </w:pPr>
            <w:r>
              <w:t xml:space="preserve">1</w:t>
            </w:r>
          </w:p>
        </w:tc>
        <w:tc>
          <w:tcPr/>
          <w:p>
            <w:pPr>
              <w:pStyle w:val="Compact"/>
              <w:jc w:val="left"/>
            </w:pPr>
            <w:r>
              <w:t xml:space="preserve">3, 4, 5, 6</w:t>
            </w:r>
          </w:p>
        </w:tc>
      </w:tr>
      <w:tr>
        <w:tc>
          <w:tcPr/>
          <w:p>
            <w:pPr>
              <w:pStyle w:val="Compact"/>
              <w:jc w:val="left"/>
            </w:pPr>
            <w:r>
              <w:rPr>
                <w:bCs/>
                <w:b/>
              </w:rPr>
              <w:t xml:space="preserve">3</w:t>
            </w:r>
          </w:p>
        </w:tc>
        <w:tc>
          <w:tcPr/>
          <w:p>
            <w:pPr>
              <w:pStyle w:val="Compact"/>
              <w:jc w:val="left"/>
            </w:pPr>
            <w:r>
              <w:t xml:space="preserve">1, 2</w:t>
            </w:r>
          </w:p>
        </w:tc>
        <w:tc>
          <w:tcPr/>
          <w:p>
            <w:pPr>
              <w:pStyle w:val="Compact"/>
              <w:jc w:val="left"/>
            </w:pPr>
            <w:r>
              <w:t xml:space="preserve">4, 5, 6</w:t>
            </w:r>
          </w:p>
        </w:tc>
      </w:tr>
      <w:tr>
        <w:tc>
          <w:tcPr/>
          <w:p>
            <w:pPr>
              <w:pStyle w:val="Compact"/>
              <w:jc w:val="left"/>
            </w:pPr>
            <w:r>
              <w:rPr>
                <w:bCs/>
                <w:b/>
              </w:rPr>
              <w:t xml:space="preserve">4</w:t>
            </w:r>
          </w:p>
        </w:tc>
        <w:tc>
          <w:tcPr/>
          <w:p>
            <w:pPr>
              <w:pStyle w:val="Compact"/>
              <w:jc w:val="left"/>
            </w:pPr>
            <w:r>
              <w:t xml:space="preserve">1</w:t>
            </w:r>
          </w:p>
        </w:tc>
        <w:tc>
          <w:tcPr/>
          <w:p>
            <w:pPr>
              <w:pStyle w:val="Compact"/>
              <w:jc w:val="left"/>
            </w:pPr>
            <w:r>
              <w:t xml:space="preserve">2, 3, 5, 6</w:t>
            </w:r>
          </w:p>
        </w:tc>
      </w:tr>
      <w:tr>
        <w:tc>
          <w:tcPr/>
          <w:p>
            <w:pPr>
              <w:pStyle w:val="Compact"/>
              <w:jc w:val="left"/>
            </w:pPr>
            <w:r>
              <w:rPr>
                <w:bCs/>
                <w:b/>
              </w:rPr>
              <w:t xml:space="preserve">5</w:t>
            </w:r>
          </w:p>
        </w:tc>
        <w:tc>
          <w:tcPr/>
          <w:p>
            <w:pPr>
              <w:pStyle w:val="Compact"/>
              <w:jc w:val="left"/>
            </w:pPr>
            <w:r>
              <w:t xml:space="preserve">1, 2, 3</w:t>
            </w:r>
          </w:p>
        </w:tc>
        <w:tc>
          <w:tcPr/>
          <w:p>
            <w:pPr>
              <w:pStyle w:val="Compact"/>
              <w:jc w:val="left"/>
            </w:pPr>
            <w:r>
              <w:t xml:space="preserve">4, 6</w:t>
            </w:r>
          </w:p>
        </w:tc>
      </w:tr>
      <w:tr>
        <w:tc>
          <w:tcPr/>
          <w:p>
            <w:pPr>
              <w:pStyle w:val="Compact"/>
              <w:jc w:val="left"/>
            </w:pPr>
            <w:r>
              <w:rPr>
                <w:bCs/>
                <w:b/>
              </w:rPr>
              <w:t xml:space="preserve">6</w:t>
            </w:r>
          </w:p>
        </w:tc>
        <w:tc>
          <w:tcPr/>
          <w:p>
            <w:pPr>
              <w:pStyle w:val="Compact"/>
              <w:jc w:val="left"/>
            </w:pPr>
            <w:r>
              <w:t xml:space="preserve">1, 4</w:t>
            </w:r>
          </w:p>
        </w:tc>
        <w:tc>
          <w:tcPr/>
          <w:p>
            <w:pPr>
              <w:pStyle w:val="Compact"/>
              <w:jc w:val="left"/>
            </w:pPr>
            <w:r>
              <w:t xml:space="preserve">2, 3, 5</w:t>
            </w:r>
          </w:p>
        </w:tc>
      </w:tr>
    </w:tbl>
    <w:p>
      <w:pPr>
        <w:pStyle w:val="BodyText"/>
      </w:pPr>
      <w:r>
        <w:rPr>
          <w:bCs/>
          <w:b/>
        </w:rPr>
        <w:t xml:space="preserve">Two independent tracks run from Module 1</w:t>
      </w:r>
      <w:r>
        <w:t xml:space="preserve"> </w:t>
      </w:r>
      <w:r>
        <w:t xml:space="preserve">— the</w:t>
      </w:r>
      <w:r>
        <w:t xml:space="preserve"> </w:t>
      </w:r>
      <w:r>
        <w:rPr>
          <w:iCs/>
          <w:i/>
        </w:rPr>
        <w:t xml:space="preserve">lineage</w:t>
      </w:r>
      <w:r>
        <w:t xml:space="preserve"> </w:t>
      </w:r>
      <w:r>
        <w:t xml:space="preserve">track (2, 3, 5) and the</w:t>
      </w:r>
      <w:r>
        <w:t xml:space="preserve"> </w:t>
      </w:r>
      <w:r>
        <w:rPr>
          <w:iCs/>
          <w:i/>
        </w:rPr>
        <w:t xml:space="preserve">representation</w:t>
      </w:r>
      <w:r>
        <w:t xml:space="preserve"> </w:t>
      </w:r>
      <w:r>
        <w:t xml:space="preserve">track (4, 6). They do not depend on each other and may be read in either order after Module 1.</w:t>
      </w:r>
    </w:p>
    <w:p>
      <w:r>
        <w:pict>
          <v:rect style="width:0;height:1.5pt" o:hralign="center" o:hrstd="t" o:hr="t"/>
        </w:pict>
      </w:r>
    </w:p>
    <w:bookmarkEnd w:id="24"/>
    <w:bookmarkStart w:id="31" w:name="what-each-module-establishes"/>
    <w:p>
      <w:pPr>
        <w:pStyle w:val="Heading1"/>
      </w:pPr>
      <w:r>
        <w:t xml:space="preserve">3. What Each Module Establishes</w:t>
      </w:r>
    </w:p>
    <w:bookmarkStart w:id="25" w:name="module-1-foundations"/>
    <w:p>
      <w:pPr>
        <w:pStyle w:val="Heading2"/>
      </w:pPr>
      <w:r>
        <w:t xml:space="preserve">3.1 Module 1 — Foundations</w:t>
      </w:r>
    </w:p>
    <w:p>
      <w:pPr>
        <w:pStyle w:val="FirstParagraph"/>
      </w:pPr>
      <w:r>
        <w:rPr>
          <w:bCs/>
          <w:b/>
        </w:rPr>
        <w:t xml:space="preserve">Builds:</w:t>
      </w:r>
      <w:r>
        <w:t xml:space="preserve"> </w:t>
      </w:r>
      <w:r>
        <w:t xml:space="preserve">the Prime String, the Base String, substrings, the String Tree, the Root and the Terminator. Notation and the indexing convention.</w:t>
      </w:r>
    </w:p>
    <w:p>
      <w:pPr>
        <w:pStyle w:val="BodyText"/>
      </w:pPr>
      <w:r>
        <w:rPr>
          <w:bCs/>
          <w:b/>
        </w:rPr>
        <w:t xml:space="preserve">Central result — the Root Theorem.</w:t>
      </w:r>
      <w:r>
        <w:t xml:space="preserve"> </w:t>
      </w:r>
      <w:r>
        <w:t xml:space="preserve">For the Standard Power Base of order</w:t>
      </w:r>
      <w:r>
        <w:t xml:space="preserve"> </w:t>
      </w:r>
      <w:r>
        <w:rPr>
          <w:iCs/>
          <w:i/>
        </w:rPr>
        <w:t xml:space="preserve">k</w:t>
      </w:r>
      <w:r>
        <w:t xml:space="preserve">, the descent goes constant at depth exactly</w:t>
      </w:r>
      <w:r>
        <w:t xml:space="preserve"> </w:t>
      </w:r>
      <w:r>
        <w:rPr>
          <w:iCs/>
          <w:i/>
        </w:rPr>
        <w:t xml:space="preserve">k</w:t>
      </w:r>
      <w:r>
        <w:t xml:space="preserve">, and the constant is</w:t>
      </w:r>
      <w:r>
        <w:t xml:space="preserve"> </w:t>
      </w:r>
      <w:r>
        <w:rPr>
          <w:iCs/>
          <w:i/>
        </w:rPr>
        <w:t xml:space="preserve">k</w:t>
      </w:r>
      <w:r>
        <w:t xml:space="preserve">!.</w:t>
      </w:r>
      <w:r>
        <w:t xml:space="preserve"> </w:t>
      </w:r>
      <w:r>
        <w:rPr>
          <w:bCs/>
          <w:b/>
        </w:rPr>
        <w:t xml:space="preserve">Two logically independent proofs</w:t>
      </w:r>
      <w:r>
        <w:t xml:space="preserve">: a descent-of-degree argument, and a counting argument over surjections that never mentions polynomials.</w:t>
      </w:r>
    </w:p>
    <w:p>
      <w:pPr>
        <w:pStyle w:val="BodyText"/>
      </w:pPr>
      <w:r>
        <w:rPr>
          <w:bCs/>
          <w:b/>
        </w:rPr>
        <w:t xml:space="preserve">Also:</w:t>
      </w:r>
      <w:r>
        <w:t xml:space="preserve"> </w:t>
      </w:r>
      <w:r>
        <w:t xml:space="preserve">the</w:t>
      </w:r>
      <w:r>
        <w:t xml:space="preserve"> </w:t>
      </w:r>
      <w:r>
        <w:rPr>
          <w:bCs/>
          <w:b/>
        </w:rPr>
        <w:t xml:space="preserve">Root Law</w:t>
      </w:r>
      <w:r>
        <w:t xml:space="preserve">,</w:t>
      </w:r>
      <w:r>
        <w:t xml:space="preserve"> </w:t>
      </w:r>
      <w:r>
        <w:rPr>
          <w:rStyle w:val="VerbatimChar"/>
        </w:rPr>
        <w:t xml:space="preserve">R = A·k!</w:t>
      </w:r>
      <w:r>
        <w:t xml:space="preserve"> </w:t>
      </w:r>
      <w:r>
        <w:t xml:space="preserve">— the Root sees the degree and the leading coefficient and is blind to everything else; reading a tree backwards to recover a polynomial’s top-order structure from numbers alone; and the</w:t>
      </w:r>
      <w:r>
        <w:t xml:space="preserve"> </w:t>
      </w:r>
      <w:r>
        <w:rPr>
          <w:bCs/>
          <w:b/>
        </w:rPr>
        <w:t xml:space="preserve">Comparative Split</w:t>
      </w:r>
      <w:r>
        <w:t xml:space="preserve">, keeping</w:t>
      </w:r>
      <w:r>
        <w:t xml:space="preserve"> </w:t>
      </w:r>
      <w:r>
        <w:rPr>
          <w:iCs/>
          <w:i/>
        </w:rPr>
        <w:t xml:space="preserve">how far</w:t>
      </w:r>
      <w:r>
        <w:t xml:space="preserve"> </w:t>
      </w:r>
      <w:r>
        <w:t xml:space="preserve">and</w:t>
      </w:r>
      <w:r>
        <w:t xml:space="preserve"> </w:t>
      </w:r>
      <w:r>
        <w:rPr>
          <w:iCs/>
          <w:i/>
        </w:rPr>
        <w:t xml:space="preserve">which way</w:t>
      </w:r>
      <w:r>
        <w:t xml:space="preserve"> </w:t>
      </w:r>
      <w:r>
        <w:t xml:space="preserve">on separate axes.</w:t>
      </w:r>
    </w:p>
    <w:p>
      <w:pPr>
        <w:pStyle w:val="BodyText"/>
      </w:pPr>
      <w:r>
        <w:rPr>
          <w:bCs/>
          <w:b/>
        </w:rPr>
        <w:t xml:space="preserve">And a strand that runs through the whole series:</w:t>
      </w:r>
      <w:r>
        <w:t xml:space="preserve"> </w:t>
      </w:r>
      <w:r>
        <w:t xml:space="preserve">the difference between a check and a proof. A sample proves presence and never absence. Verification must vary the</w:t>
      </w:r>
      <w:r>
        <w:t xml:space="preserve"> </w:t>
      </w:r>
      <w:r>
        <w:rPr>
          <w:iCs/>
          <w:i/>
        </w:rPr>
        <w:t xml:space="preserve">question</w:t>
      </w:r>
      <w:r>
        <w:t xml:space="preserve">, not merely the method.</w:t>
      </w:r>
    </w:p>
    <w:bookmarkEnd w:id="25"/>
    <w:bookmarkStart w:id="26" w:name="module-2-the-ratio-lineage"/>
    <w:p>
      <w:pPr>
        <w:pStyle w:val="Heading2"/>
      </w:pPr>
      <w:r>
        <w:t xml:space="preserve">3.2 Module 2 — The Ratio Lineage</w:t>
      </w:r>
    </w:p>
    <w:p>
      <w:pPr>
        <w:pStyle w:val="FirstParagraph"/>
      </w:pPr>
      <w:r>
        <w:rPr>
          <w:bCs/>
          <w:b/>
        </w:rPr>
        <w:t xml:space="preserve">Central result:</w:t>
      </w:r>
      <w:r>
        <w:t xml:space="preserve"> </w:t>
      </w:r>
      <w:r>
        <w:t xml:space="preserve">a geometric string reaches its ratio-Root at depth 1, and the Root is the common ratio.</w:t>
      </w:r>
    </w:p>
    <w:p>
      <w:pPr>
        <w:pStyle w:val="BodyText"/>
      </w:pPr>
      <w:r>
        <w:rPr>
          <w:bCs/>
          <w:b/>
        </w:rPr>
        <w:t xml:space="preserve">The Bridge.</w:t>
      </w:r>
      <w:r>
        <w:t xml:space="preserve"> </w:t>
      </w:r>
      <w:r>
        <w:rPr>
          <w:rStyle w:val="VerbatimChar"/>
        </w:rPr>
        <w:t xml:space="preserve">ratio = exp ∘ difference ∘ log</w:t>
      </w:r>
      <w:r>
        <w:t xml:space="preserve"> </w:t>
      </w:r>
      <w:r>
        <w:t xml:space="preserve">— the two lineages are one theory in two coordinate systems, carried between them by a Direct Substring.</w:t>
      </w:r>
    </w:p>
    <w:p>
      <w:pPr>
        <w:pStyle w:val="BodyText"/>
      </w:pPr>
      <w:r>
        <w:rPr>
          <w:bCs/>
          <w:b/>
        </w:rPr>
        <w:t xml:space="preserve">Two honest limits, both kept rather than patched.</w:t>
      </w:r>
      <w:r>
        <w:t xml:space="preserve"> </w:t>
      </w:r>
      <w:r>
        <w:t xml:space="preserve">Ratio is</w:t>
      </w:r>
      <w:r>
        <w:t xml:space="preserve"> </w:t>
      </w:r>
      <w:r>
        <w:rPr>
          <w:bCs/>
          <w:b/>
        </w:rPr>
        <w:t xml:space="preserve">partial</w:t>
      </w:r>
      <w:r>
        <w:t xml:space="preserve"> </w:t>
      </w:r>
      <w:r>
        <w:t xml:space="preserve">where difference is</w:t>
      </w:r>
      <w:r>
        <w:t xml:space="preserve"> </w:t>
      </w:r>
      <w:r>
        <w:rPr>
          <w:bCs/>
          <w:b/>
        </w:rPr>
        <w:t xml:space="preserve">total</w:t>
      </w:r>
      <w:r>
        <w:t xml:space="preserve"> </w:t>
      </w:r>
      <w:r>
        <w:t xml:space="preserve">— division by zero is not an inconvenience but a structural asymmetry. And</w:t>
      </w:r>
      <w:r>
        <w:t xml:space="preserve"> </w:t>
      </w:r>
      <w:r>
        <w:rPr>
          <w:bCs/>
          <w:b/>
        </w:rPr>
        <w:t xml:space="preserve">non-termination cannot be seen in finite data</w:t>
      </w:r>
      <w:r>
        <w:t xml:space="preserve">:</w:t>
      </w:r>
      <w:r>
        <w:t xml:space="preserve"> </w:t>
      </w:r>
      <w:r>
        <w:rPr>
          <w:rStyle w:val="VerbatimChar"/>
        </w:rPr>
        <w:t xml:space="preserve">N</w:t>
      </w:r>
      <w:r>
        <w:t xml:space="preserve"> </w:t>
      </w:r>
      <w:r>
        <w:t xml:space="preserve">terms always bottom out at a single value by depth</w:t>
      </w:r>
      <w:r>
        <w:t xml:space="preserve"> </w:t>
      </w:r>
      <w:r>
        <w:rPr>
          <w:rStyle w:val="VerbatimChar"/>
        </w:rPr>
        <w:t xml:space="preserve">N−1</w:t>
      </w:r>
      <w:r>
        <w:t xml:space="preserve">, and one value is trivially constant, so any finite sample is consistent with termination.</w:t>
      </w:r>
    </w:p>
    <w:p>
      <w:pPr>
        <w:pStyle w:val="BodyText"/>
      </w:pPr>
      <w:r>
        <w:rPr>
          <w:bCs/>
          <w:b/>
        </w:rPr>
        <w:t xml:space="preserve">The destination:</w:t>
      </w:r>
      <w:r>
        <w:t xml:space="preserve"> </w:t>
      </w:r>
      <w:r>
        <w:t xml:space="preserve">the Fibonacci string is closed by neither lineage — differencing reproduces it shifted, ratios converge without arriving — and the gap is exact at every step,</w:t>
      </w:r>
      <w:r>
        <w:t xml:space="preserve"> </w:t>
      </w:r>
      <w:r>
        <w:rPr>
          <w:rStyle w:val="VerbatimChar"/>
        </w:rPr>
        <w:t xml:space="preserve">(−1)ⁿ/(φⁿFₙ)</w:t>
      </w:r>
      <w:r>
        <w:t xml:space="preserve">, or in pure integers</w:t>
      </w:r>
      <w:r>
        <w:t xml:space="preserve"> </w:t>
      </w:r>
      <w:r>
        <w:rPr>
          <w:rStyle w:val="VerbatimChar"/>
        </w:rPr>
        <w:t xml:space="preserve">(−1)ⁿ/Fₙ²</w:t>
      </w:r>
      <w:r>
        <w:t xml:space="preserve"> </w:t>
      </w:r>
      <w:r>
        <w:t xml:space="preserve">by Cassini’s identity.</w:t>
      </w:r>
      <w:r>
        <w:t xml:space="preserve"> </w:t>
      </w:r>
      <w:r>
        <w:rPr>
          <w:bCs/>
          <w:b/>
        </w:rPr>
        <w:t xml:space="preserve">φ arrives as the fixed point of</w:t>
      </w:r>
      <w:r>
        <w:rPr>
          <w:bCs/>
          <w:b/>
        </w:rPr>
        <w:t xml:space="preserve"> </w:t>
      </w:r>
      <w:r>
        <w:rPr>
          <w:rStyle w:val="VerbatimChar"/>
          <w:bCs/>
          <w:b/>
        </w:rPr>
        <w:t xml:space="preserve">x = 1 + 1/x</w:t>
      </w:r>
      <w:r>
        <w:t xml:space="preserve">, the value at which</w:t>
      </w:r>
      <w:r>
        <w:t xml:space="preserve"> </w:t>
      </w:r>
      <w:r>
        <w:t xml:space="preserve">“</w:t>
      </w:r>
      <w:r>
        <w:t xml:space="preserve">add the previous term</w:t>
      </w:r>
      <w:r>
        <w:t xml:space="preserve">”</w:t>
      </w:r>
      <w:r>
        <w:t xml:space="preserve"> </w:t>
      </w:r>
      <w:r>
        <w:t xml:space="preserve">and</w:t>
      </w:r>
      <w:r>
        <w:t xml:space="preserve"> </w:t>
      </w:r>
      <w:r>
        <w:t xml:space="preserve">“</w:t>
      </w:r>
      <w:r>
        <w:t xml:space="preserve">multiply by a constant</w:t>
      </w:r>
      <w:r>
        <w:t xml:space="preserve">”</w:t>
      </w:r>
      <w:r>
        <w:t xml:space="preserve"> </w:t>
      </w:r>
      <w:r>
        <w:t xml:space="preserve">become the same instruction.</w:t>
      </w:r>
    </w:p>
    <w:bookmarkEnd w:id="26"/>
    <w:bookmarkStart w:id="27" w:name="module-3-tuned-comparisons"/>
    <w:p>
      <w:pPr>
        <w:pStyle w:val="Heading2"/>
      </w:pPr>
      <w:r>
        <w:t xml:space="preserve">3.3 Module 3 — Tuned Comparisons</w:t>
      </w:r>
    </w:p>
    <w:p>
      <w:pPr>
        <w:pStyle w:val="FirstParagraph"/>
      </w:pPr>
      <w:r>
        <w:rPr>
          <w:bCs/>
          <w:b/>
        </w:rPr>
        <w:t xml:space="preserve">Central result:</w:t>
      </w:r>
      <w:r>
        <w:t xml:space="preserve"> </w:t>
      </w:r>
      <w:r>
        <w:t xml:space="preserve">the tuned difference</w:t>
      </w:r>
      <w:r>
        <w:t xml:space="preserve"> </w:t>
      </w:r>
      <w:r>
        <w:rPr>
          <w:rStyle w:val="VerbatimChar"/>
        </w:rPr>
        <w:t xml:space="preserve">h_r(a,b) = b − r·a</w:t>
      </w:r>
      <w:r>
        <w:t xml:space="preserve"> </w:t>
      </w:r>
      <w:r>
        <w:t xml:space="preserve">passes through a geometric factor and differences the polynomial underneath it, annihilating</w:t>
      </w:r>
      <w:r>
        <w:t xml:space="preserve"> </w:t>
      </w:r>
      <w:r>
        <w:rPr>
          <w:rStyle w:val="VerbatimChar"/>
        </w:rPr>
        <w:t xml:space="preserve">p(n)·rⁿ</w:t>
      </w:r>
      <w:r>
        <w:t xml:space="preserve"> </w:t>
      </w:r>
      <w:r>
        <w:t xml:space="preserve">at depth</w:t>
      </w:r>
      <w:r>
        <w:t xml:space="preserve"> </w:t>
      </w:r>
      <w:r>
        <w:rPr>
          <w:rStyle w:val="VerbatimChar"/>
        </w:rPr>
        <w:t xml:space="preserve">k+1</w:t>
      </w:r>
      <w:r>
        <w:t xml:space="preserve">.</w:t>
      </w:r>
    </w:p>
    <w:p>
      <w:pPr>
        <w:pStyle w:val="BodyText"/>
      </w:pPr>
      <w:r>
        <w:rPr>
          <w:bCs/>
          <w:b/>
        </w:rPr>
        <w:t xml:space="preserve">And it contains both earlier lineages.</w:t>
      </w:r>
      <w:r>
        <w:t xml:space="preserve"> </w:t>
      </w:r>
      <w:r>
        <w:t xml:space="preserve">Dial at 1 is Module 1; constant polynomial is Module 2’s ratio test.</w:t>
      </w:r>
      <w:r>
        <w:t xml:space="preserve"> </w:t>
      </w:r>
      <w:r>
        <w:rPr>
          <w:bCs/>
          <w:b/>
        </w:rPr>
        <w:t xml:space="preserve">It also repairs Module 2’s partiality</w:t>
      </w:r>
      <w:r>
        <w:t xml:space="preserve"> </w:t>
      </w:r>
      <w:r>
        <w:t xml:space="preserve">—</w:t>
      </w:r>
      <w:r>
        <w:t xml:space="preserve"> </w:t>
      </w:r>
      <w:r>
        <w:rPr>
          <w:rStyle w:val="VerbatimChar"/>
        </w:rPr>
        <w:t xml:space="preserve">b − r·a</w:t>
      </w:r>
      <w:r>
        <w:t xml:space="preserve"> </w:t>
      </w:r>
      <w:r>
        <w:t xml:space="preserve">is total where</w:t>
      </w:r>
      <w:r>
        <w:t xml:space="preserve"> </w:t>
      </w:r>
      <w:r>
        <w:rPr>
          <w:rStyle w:val="VerbatimChar"/>
        </w:rPr>
        <w:t xml:space="preserve">b/a</w:t>
      </w:r>
      <w:r>
        <w:t xml:space="preserve"> </w:t>
      </w:r>
      <w:r>
        <w:t xml:space="preserve">was not.</w:t>
      </w:r>
    </w:p>
    <w:p>
      <w:pPr>
        <w:pStyle w:val="BodyText"/>
      </w:pPr>
      <w:r>
        <w:rPr>
          <w:bCs/>
          <w:b/>
        </w:rPr>
        <w:t xml:space="preserve">Two results about what a tree knows about itself.</w:t>
      </w:r>
      <w:r>
        <w:t xml:space="preserve"> </w:t>
      </w:r>
      <w:r>
        <w:t xml:space="preserve">A single corrupted term produces a</w:t>
      </w:r>
      <w:r>
        <w:t xml:space="preserve"> </w:t>
      </w:r>
      <w:r>
        <w:rPr>
          <w:bCs/>
          <w:b/>
        </w:rPr>
        <w:t xml:space="preserve">signed-binomial damage wedge</w:t>
      </w:r>
      <w:r>
        <w:t xml:space="preserve"> </w:t>
      </w:r>
      <w:r>
        <w:t xml:space="preserve">whose right edge is the corrupted index and whose outermost entry gives the error’s size — so a String Tree reports</w:t>
      </w:r>
      <w:r>
        <w:t xml:space="preserve"> </w:t>
      </w:r>
      <w:r>
        <w:rPr>
          <w:iCs/>
          <w:i/>
        </w:rPr>
        <w:t xml:space="preserve">where</w:t>
      </w:r>
      <w:r>
        <w:t xml:space="preserve">, not merely</w:t>
      </w:r>
      <w:r>
        <w:t xml:space="preserve"> </w:t>
      </w:r>
      <w:r>
        <w:rPr>
          <w:iCs/>
          <w:i/>
        </w:rPr>
        <w:t xml:space="preserve">that</w:t>
      </w:r>
      <w:r>
        <w:t xml:space="preserve">. And the</w:t>
      </w:r>
      <w:r>
        <w:t xml:space="preserve"> </w:t>
      </w:r>
      <w:r>
        <w:rPr>
          <w:bCs/>
          <w:b/>
        </w:rPr>
        <w:t xml:space="preserve">left edge</w:t>
      </w:r>
      <w:r>
        <w:t xml:space="preserve"> </w:t>
      </w:r>
      <w:r>
        <w:t xml:space="preserve">— one entry per level — rebuilds the whole tree, in</w:t>
      </w:r>
      <w:r>
        <w:t xml:space="preserve"> </w:t>
      </w:r>
      <w:r>
        <w:rPr>
          <w:rStyle w:val="VerbatimChar"/>
        </w:rPr>
        <w:t xml:space="preserve">k+1</w:t>
      </w:r>
      <w:r>
        <w:t xml:space="preserve"> </w:t>
      </w:r>
      <w:r>
        <w:t xml:space="preserve">numbers, which is minimal.</w:t>
      </w:r>
    </w:p>
    <w:p>
      <w:pPr>
        <w:pStyle w:val="BodyText"/>
      </w:pPr>
      <w:r>
        <w:rPr>
          <w:bCs/>
          <w:b/>
        </w:rPr>
        <w:t xml:space="preserve">Also:</w:t>
      </w:r>
      <w:r>
        <w:t xml:space="preserve"> </w:t>
      </w:r>
      <w:r>
        <w:t xml:space="preserve">the right comparison for a family is that family’s own recurrence, so</w:t>
      </w:r>
      <w:r>
        <w:t xml:space="preserve"> </w:t>
      </w:r>
      <w:r>
        <w:rPr>
          <w:rStyle w:val="VerbatimChar"/>
        </w:rPr>
        <w:t xml:space="preserve">c − b − a</w:t>
      </w:r>
      <w:r>
        <w:t xml:space="preserve"> </w:t>
      </w:r>
      <w:r>
        <w:t xml:space="preserve">kills Fibonacci at depth 1; and composing two tuned differences at φ and ψ gives exactly that integer rule, the irrationals entering and cancelling.</w:t>
      </w:r>
    </w:p>
    <w:bookmarkEnd w:id="27"/>
    <w:bookmarkStart w:id="28" w:name="module-4-number-without-a-base"/>
    <w:p>
      <w:pPr>
        <w:pStyle w:val="Heading2"/>
      </w:pPr>
      <w:r>
        <w:t xml:space="preserve">3.4 Module 4 — Number Without a Base</w:t>
      </w:r>
    </w:p>
    <w:p>
      <w:pPr>
        <w:pStyle w:val="FirstParagraph"/>
      </w:pPr>
      <w:r>
        <w:rPr>
          <w:bCs/>
          <w:b/>
        </w:rPr>
        <w:t xml:space="preserve">Central result:</w:t>
      </w:r>
      <w:r>
        <w:t xml:space="preserve"> </w:t>
      </w:r>
      <w:r>
        <w:t xml:space="preserve">the lineage</w:t>
      </w:r>
      <w:r>
        <w:t xml:space="preserve"> </w:t>
      </w:r>
      <w:r>
        <w:rPr>
          <w:bCs/>
          <w:b/>
        </w:rPr>
        <w:t xml:space="preserve">commutes with encoding.</w:t>
      </w:r>
      <w:r>
        <w:t xml:space="preserve"> </w:t>
      </w:r>
      <w:r>
        <w:t xml:space="preserve">Write every term as a register in any base, difference the registers position by position with signed digits and never carrying, decode any level — and you get exactly the value-level lineage. Verified in bases 10, 2 and 3.</w:t>
      </w:r>
    </w:p>
    <w:p>
      <w:pPr>
        <w:pStyle w:val="BodyText"/>
      </w:pPr>
      <w:r>
        <w:rPr>
          <w:bCs/>
          <w:b/>
        </w:rPr>
        <w:t xml:space="preserve">The corollary the module is named for:</w:t>
      </w:r>
      <w:r>
        <w:t xml:space="preserve"> </w:t>
      </w:r>
      <w:r>
        <w:rPr>
          <w:bCs/>
          <w:b/>
        </w:rPr>
        <w:t xml:space="preserve">carrying and borrowing are normalisation, not arithmetic.</w:t>
      </w:r>
      <w:r>
        <w:t xml:space="preserve"> </w:t>
      </w:r>
      <w:r>
        <w:t xml:space="preserve">The arithmetic finishes with digits still outside the alphabet; tidying them is a separate pass, and it is the</w:t>
      </w:r>
      <w:r>
        <w:t xml:space="preserve"> </w:t>
      </w:r>
      <w:r>
        <w:rPr>
          <w:iCs/>
          <w:i/>
        </w:rPr>
        <w:t xml:space="preserve">sequential</w:t>
      </w:r>
      <w:r>
        <w:t xml:space="preserve"> </w:t>
      </w:r>
      <w:r>
        <w:t xml:space="preserve">part.</w:t>
      </w:r>
    </w:p>
    <w:p>
      <w:pPr>
        <w:pStyle w:val="BodyText"/>
      </w:pPr>
      <w:r>
        <w:rPr>
          <w:bCs/>
          <w:b/>
        </w:rPr>
        <w:t xml:space="preserve">Where the theorem stops</w:t>
      </w:r>
      <w:r>
        <w:t xml:space="preserve">, stated because a result is only as good as its boundary: it needs only adding and scaling. Difference and sum pass through position-wise;</w:t>
      </w:r>
      <w:r>
        <w:t xml:space="preserve"> </w:t>
      </w:r>
      <w:r>
        <w:rPr>
          <w:bCs/>
          <w:b/>
        </w:rPr>
        <w:t xml:space="preserve">multiplication is carry-free too but convolves</w:t>
      </w:r>
      <w:r>
        <w:t xml:space="preserve"> </w:t>
      </w:r>
      <w:r>
        <w:t xml:space="preserve">rather than acting position by position; division inherits none of it.</w:t>
      </w:r>
    </w:p>
    <w:p>
      <w:pPr>
        <w:pStyle w:val="BodyText"/>
      </w:pPr>
      <w:r>
        <w:rPr>
          <w:bCs/>
          <w:b/>
        </w:rPr>
        <w:t xml:space="preserve">And what forces normalisation: comparison.</w:t>
      </w:r>
      <w:r>
        <w:t xml:space="preserve"> </w:t>
      </w:r>
      <w:r>
        <w:t xml:space="preserve">Two registers can hold one value and share no digit, so equality cannot be decided by inspection.</w:t>
      </w:r>
      <w:r>
        <w:t xml:space="preserve"> </w:t>
      </w:r>
      <w:r>
        <w:rPr>
          <w:bCs/>
          <w:b/>
        </w:rPr>
        <w:t xml:space="preserve">Computation defers normalisation; comparison forces it.</w:t>
      </w:r>
    </w:p>
    <w:bookmarkEnd w:id="28"/>
    <w:bookmarkStart w:id="29" w:name="module-5-sum-and-product"/>
    <w:p>
      <w:pPr>
        <w:pStyle w:val="Heading2"/>
      </w:pPr>
      <w:r>
        <w:t xml:space="preserve">3.5 Module 5 — Sum and Product</w:t>
      </w:r>
    </w:p>
    <w:p>
      <w:pPr>
        <w:pStyle w:val="FirstParagraph"/>
      </w:pPr>
      <w:r>
        <w:rPr>
          <w:bCs/>
          <w:b/>
        </w:rPr>
        <w:t xml:space="preserve">Completes an enumeration</w:t>
      </w:r>
      <w:r>
        <w:t xml:space="preserve"> </w:t>
      </w:r>
      <w:r>
        <w:t xml:space="preserve">Module 1 §5.3 made and the series left two-thirds undone.</w:t>
      </w:r>
    </w:p>
    <w:p>
      <w:pPr>
        <w:pStyle w:val="BodyText"/>
      </w:pPr>
      <w:r>
        <w:rPr>
          <w:bCs/>
          <w:b/>
        </w:rPr>
        <w:t xml:space="preserve">Central discovery:</w:t>
      </w:r>
      <w:r>
        <w:t xml:space="preserve"> </w:t>
      </w:r>
      <w:r>
        <w:t xml:space="preserve">the</w:t>
      </w:r>
      <w:r>
        <w:t xml:space="preserve"> </w:t>
      </w:r>
      <w:r>
        <w:rPr>
          <w:bCs/>
          <w:b/>
        </w:rPr>
        <w:t xml:space="preserve">sum lineage is Module 3’s dial at</w:t>
      </w:r>
      <w:r>
        <w:rPr>
          <w:bCs/>
          <w:b/>
        </w:rPr>
        <w:t xml:space="preserve"> </w:t>
      </w:r>
      <w:r>
        <w:rPr>
          <w:rStyle w:val="VerbatimChar"/>
          <w:bCs/>
          <w:b/>
        </w:rPr>
        <w:t xml:space="preserve">r = −1</w:t>
      </w:r>
      <w:r>
        <w:rPr>
          <w:bCs/>
          <w:b/>
        </w:rPr>
        <w:t xml:space="preserve">.</w:t>
      </w:r>
      <w:r>
        <w:t xml:space="preserve"> </w:t>
      </w:r>
      <w:r>
        <w:t xml:space="preserve">It had been covered four modules before it was named — nobody had turned the dial to a negative number.</w:t>
      </w:r>
    </w:p>
    <w:p>
      <w:pPr>
        <w:pStyle w:val="BodyText"/>
      </w:pPr>
      <w:r>
        <w:rPr>
          <w:bCs/>
          <w:b/>
        </w:rPr>
        <w:t xml:space="preserve">Difference and sum are one triangle</w:t>
      </w:r>
      <w:r>
        <w:t xml:space="preserve"> </w:t>
      </w:r>
      <w:r>
        <w:t xml:space="preserve">— the same closed form over Pascal, read with alternating signs or with all signs positive. That is why one annihilates by cancellation and the other doubles.</w:t>
      </w:r>
    </w:p>
    <w:p>
      <w:pPr>
        <w:pStyle w:val="BodyText"/>
      </w:pPr>
      <w:r>
        <w:rPr>
          <w:bCs/>
          <w:b/>
        </w:rPr>
        <w:t xml:space="preserve">The second bridge:</w:t>
      </w:r>
      <w:r>
        <w:t xml:space="preserve"> </w:t>
      </w:r>
      <w:r>
        <w:rPr>
          <w:rStyle w:val="VerbatimChar"/>
        </w:rPr>
        <w:t xml:space="preserve">product = exp ∘ sum ∘ log</w:t>
      </w:r>
      <w:r>
        <w:t xml:space="preserve">, exactly parallel to Module 2’s, for the same reason.</w:t>
      </w:r>
      <w:r>
        <w:t xml:space="preserve"> </w:t>
      </w:r>
      <w:r>
        <w:rPr>
          <w:bCs/>
          <w:b/>
        </w:rPr>
        <w:t xml:space="preserve">And the dial exists multiplicatively too</w:t>
      </w:r>
      <w:r>
        <w:t xml:space="preserve">,</w:t>
      </w:r>
      <w:r>
        <w:t xml:space="preserve"> </w:t>
      </w:r>
      <w:r>
        <w:rPr>
          <w:rStyle w:val="VerbatimChar"/>
        </w:rPr>
        <w:t xml:space="preserve">b / aʳ</w:t>
      </w:r>
      <w:r>
        <w:t xml:space="preserve">, killing doubly-exponential strings at depth 1.</w:t>
      </w:r>
    </w:p>
    <w:p>
      <w:pPr>
        <w:pStyle w:val="BodyText"/>
      </w:pPr>
      <w:r>
        <w:rPr>
          <w:bCs/>
          <w:b/>
        </w:rPr>
        <w:t xml:space="preserve">The family:</w:t>
      </w:r>
      <w:r>
        <w:t xml:space="preserve"> </w:t>
      </w:r>
      <w:r>
        <w:t xml:space="preserve">two arithmetics by two directions. Additive relationships terminate at 0, multiplicative ones at 1 —</w:t>
      </w:r>
      <w:r>
        <w:t xml:space="preserve"> </w:t>
      </w:r>
      <w:r>
        <w:rPr>
          <w:bCs/>
          <w:b/>
        </w:rPr>
        <w:t xml:space="preserve">each is the identity of its own arithmetic.</w:t>
      </w:r>
    </w:p>
    <w:p>
      <w:pPr>
        <w:pStyle w:val="BodyText"/>
      </w:pPr>
      <w:r>
        <w:rPr>
          <w:bCs/>
          <w:b/>
        </w:rPr>
        <w:t xml:space="preserve">And the sum lineage earns its keep:</w:t>
      </w:r>
      <w:r>
        <w:t xml:space="preserve"> </w:t>
      </w:r>
      <w:r>
        <w:t xml:space="preserve">the stride-two difference</w:t>
      </w:r>
      <w:r>
        <w:t xml:space="preserve"> </w:t>
      </w:r>
      <w:r>
        <w:rPr>
          <w:bCs/>
          <w:b/>
        </w:rPr>
        <w:t xml:space="preserve">factors</w:t>
      </w:r>
      <w:r>
        <w:t xml:space="preserve"> </w:t>
      </w:r>
      <w:r>
        <w:t xml:space="preserve">as difference composed with sum, in either order — which also answers a question Module 1 never asked, namely why comparisons are defined on</w:t>
      </w:r>
      <w:r>
        <w:t xml:space="preserve"> </w:t>
      </w:r>
      <w:r>
        <w:rPr>
          <w:iCs/>
          <w:i/>
        </w:rPr>
        <w:t xml:space="preserve">adjacent</w:t>
      </w:r>
      <w:r>
        <w:t xml:space="preserve"> </w:t>
      </w:r>
      <w:r>
        <w:t xml:space="preserve">terms at all. They need not be.</w:t>
      </w:r>
    </w:p>
    <w:bookmarkEnd w:id="29"/>
    <w:bookmarkStart w:id="30" w:name="module-6-digit-sets"/>
    <w:p>
      <w:pPr>
        <w:pStyle w:val="Heading2"/>
      </w:pPr>
      <w:r>
        <w:t xml:space="preserve">3.6 Module 6 — Digit Sets</w:t>
      </w:r>
    </w:p>
    <w:p>
      <w:pPr>
        <w:pStyle w:val="FirstParagraph"/>
      </w:pPr>
      <w:r>
        <w:rPr>
          <w:bCs/>
          <w:b/>
        </w:rPr>
        <w:t xml:space="preserve">Closes a hole Module 4 created</w:t>
      </w:r>
      <w:r>
        <w:t xml:space="preserve"> </w:t>
      </w:r>
      <w:r>
        <w:t xml:space="preserve">by saying</w:t>
      </w:r>
      <w:r>
        <w:t xml:space="preserve"> </w:t>
      </w:r>
      <w:r>
        <w:t xml:space="preserve">“</w:t>
      </w:r>
      <w:r>
        <w:t xml:space="preserve">allow signed digits</w:t>
      </w:r>
      <w:r>
        <w:t xml:space="preserve">”</w:t>
      </w:r>
      <w:r>
        <w:t xml:space="preserve"> </w:t>
      </w:r>
      <w:r>
        <w:t xml:space="preserve">without asking which.</w:t>
      </w:r>
    </w:p>
    <w:p>
      <w:pPr>
        <w:pStyle w:val="BodyText"/>
      </w:pPr>
      <w:r>
        <w:rPr>
          <w:bCs/>
          <w:b/>
        </w:rPr>
        <w:t xml:space="preserve">Two requirements, reached independently, that turn out to be one inequality.</w:t>
      </w:r>
    </w:p>
    <w:p>
      <w:pPr>
        <w:pStyle w:val="BodyText"/>
      </w:pPr>
      <w:r>
        <w:rPr>
          <w:bCs/>
          <w:b/>
        </w:rPr>
        <w:t xml:space="preserve">Uniqueness of zero:</w:t>
      </w:r>
      <w:r>
        <w:t xml:space="preserve"> </w:t>
      </w:r>
      <w:r>
        <w:t xml:space="preserve">if the digit bound satisfies</w:t>
      </w:r>
      <w:r>
        <w:t xml:space="preserve"> </w:t>
      </w:r>
      <w:r>
        <w:rPr>
          <w:rStyle w:val="VerbatimChar"/>
        </w:rPr>
        <w:t xml:space="preserve">a ≤ r − 1</w:t>
      </w:r>
      <w:r>
        <w:t xml:space="preserve">, a register is zero if and only if every digit is zero — by top-digit dominance.</w:t>
      </w:r>
      <w:r>
        <w:t xml:space="preserve"> </w:t>
      </w:r>
      <w:r>
        <w:rPr>
          <w:bCs/>
          <w:b/>
        </w:rPr>
        <w:t xml:space="preserve">The system stays redundant for every nonzero value and is unique exactly at zero</w:t>
      </w:r>
      <w:r>
        <w:t xml:space="preserve">, which is precisely where uniqueness was needed. Terminator detection becomes digit-local.</w:t>
      </w:r>
    </w:p>
    <w:p>
      <w:pPr>
        <w:pStyle w:val="BodyText"/>
      </w:pPr>
      <w:r>
        <w:rPr>
          <w:bCs/>
          <w:b/>
        </w:rPr>
        <w:t xml:space="preserve">Carry-free addition</w:t>
      </w:r>
      <w:r>
        <w:t xml:space="preserve"> </w:t>
      </w:r>
      <w:r>
        <w:t xml:space="preserve">(Avizienis, 1961) requires</w:t>
      </w:r>
      <w:r>
        <w:t xml:space="preserve"> </w:t>
      </w:r>
      <w:r>
        <w:rPr>
          <w:rStyle w:val="VerbatimChar"/>
        </w:rPr>
        <w:t xml:space="preserve">(r+1)/2 ≤ a ≤ r−1</w:t>
      </w:r>
      <w:r>
        <w:t xml:space="preserve">.</w:t>
      </w:r>
    </w:p>
    <w:p>
      <w:pPr>
        <w:pStyle w:val="BodyText"/>
      </w:pPr>
      <w:r>
        <w:rPr>
          <w:bCs/>
          <w:b/>
        </w:rPr>
        <w:t xml:space="preserve">Together they force</w:t>
      </w:r>
      <w:r>
        <w:rPr>
          <w:bCs/>
          <w:b/>
        </w:rPr>
        <w:t xml:space="preserve"> </w:t>
      </w:r>
      <w:r>
        <w:rPr>
          <w:rStyle w:val="VerbatimChar"/>
          <w:bCs/>
          <w:b/>
        </w:rPr>
        <w:t xml:space="preserve">r ≥ 3</w:t>
      </w:r>
      <w:r>
        <w:t xml:space="preserve">, and at radix three the bound is</w:t>
      </w:r>
      <w:r>
        <w:t xml:space="preserve"> </w:t>
      </w:r>
      <w:r>
        <w:rPr>
          <w:rStyle w:val="VerbatimChar"/>
        </w:rPr>
        <w:t xml:space="preserve">2 ≤ a ≤ 2</w:t>
      </w:r>
      <w:r>
        <w:t xml:space="preserve"> </w:t>
      </w:r>
      <w:r>
        <w:t xml:space="preserve">— a single possible value, digit set</w:t>
      </w:r>
      <w:r>
        <w:t xml:space="preserve"> </w:t>
      </w:r>
      <w:r>
        <w:rPr>
          <w:rStyle w:val="VerbatimChar"/>
        </w:rPr>
        <w:t xml:space="preserve">{−2 … 2}</w:t>
      </w:r>
      <w:r>
        <w:t xml:space="preserve">, no design freedom left.</w:t>
      </w:r>
      <w:r>
        <w:t xml:space="preserve"> </w:t>
      </w:r>
      <w:r>
        <w:rPr>
          <w:bCs/>
          <w:b/>
        </w:rPr>
        <w:t xml:space="preserve">Binary admits no carry-free signed-digit addition at all.</w:t>
      </w:r>
    </w:p>
    <w:p>
      <w:pPr>
        <w:pStyle w:val="BodyText"/>
      </w:pPr>
      <w:r>
        <w:rPr>
          <w:bCs/>
          <w:b/>
        </w:rPr>
        <w:t xml:space="preserve">Verified end to end:</w:t>
      </w:r>
      <w:r>
        <w:t xml:space="preserve"> </w:t>
      </w:r>
      <w:r>
        <w:t xml:space="preserve">a complete String Tree run in signed ternary, reaching Root</w:t>
      </w:r>
      <w:r>
        <w:t xml:space="preserve"> </w:t>
      </w:r>
      <w:r>
        <w:rPr>
          <w:rStyle w:val="VerbatimChar"/>
        </w:rPr>
        <w:t xml:space="preserve">= 2 = 2!</w:t>
      </w:r>
      <w:r>
        <w:t xml:space="preserve"> </w:t>
      </w:r>
      <w:r>
        <w:t xml:space="preserve">and an all-zero Terminator,</w:t>
      </w:r>
      <w:r>
        <w:t xml:space="preserve"> </w:t>
      </w:r>
      <w:r>
        <w:rPr>
          <w:bCs/>
          <w:b/>
        </w:rPr>
        <w:t xml:space="preserve">never normalising once.</w:t>
      </w:r>
    </w:p>
    <w:p>
      <w:pPr>
        <w:pStyle w:val="BodyText"/>
      </w:pPr>
      <w:r>
        <w:rPr>
          <w:bCs/>
          <w:b/>
        </w:rPr>
        <w:t xml:space="preserve">And Module 4’s principle is sharpened to a proof:</w:t>
      </w:r>
      <w:r>
        <w:t xml:space="preserve"> </w:t>
      </w:r>
      <w:r>
        <w:t xml:space="preserve">a process that answers by termination never normalises at all.</w:t>
      </w:r>
      <w:r>
        <w:t xml:space="preserve"> </w:t>
      </w:r>
      <w:r>
        <w:rPr>
          <w:bCs/>
          <w:b/>
        </w:rPr>
        <w:t xml:space="preserve">Normalisation is for readers.</w:t>
      </w:r>
    </w:p>
    <w:p>
      <w:r>
        <w:pict>
          <v:rect style="width:0;height:1.5pt" o:hralign="center" o:hrstd="t" o:hr="t"/>
        </w:pict>
      </w:r>
    </w:p>
    <w:bookmarkEnd w:id="30"/>
    <w:bookmarkEnd w:id="31"/>
    <w:bookmarkStart w:id="32" w:name="consolidated-results"/>
    <w:p>
      <w:pPr>
        <w:pStyle w:val="Heading1"/>
      </w:pPr>
      <w:r>
        <w:t xml:space="preserve">4. Consolidated Results</w:t>
      </w:r>
    </w:p>
    <w:p>
      <w:pPr>
        <w:pStyle w:val="FirstParagraph"/>
      </w:pPr>
      <w:r>
        <w:rPr>
          <w:bCs/>
          <w:b/>
        </w:rPr>
        <w:t xml:space="preserve">Every theorem in the series, with its home.</w:t>
      </w:r>
      <w:r>
        <w:t xml:space="preserve"> </w:t>
      </w:r>
      <w:r>
        <w:t xml:space="preserve">Results marked</w:t>
      </w:r>
      <w:r>
        <w:t xml:space="preserve"> </w:t>
      </w:r>
      <w:r>
        <w:rPr>
          <w:iCs/>
          <w:i/>
        </w:rPr>
        <w:t xml:space="preserve">verified</w:t>
      </w:r>
      <w:r>
        <w:t xml:space="preserve"> </w:t>
      </w:r>
      <w:r>
        <w:t xml:space="preserve">were checked numerically as well as proved.</w:t>
      </w:r>
    </w:p>
    <w:tbl>
      <w:tblPr>
        <w:tblStyle w:val="Table"/>
        <w:tblW w:type="pct" w:w="5000"/>
        <w:tblLook w:firstRow="1" w:lastRow="0" w:firstColumn="0" w:lastColumn="0" w:noHBand="0" w:noVBand="0" w:val="0020"/>
        <w:jc w:val="start"/>
      </w:tblPr>
      <w:tblGrid>
        <w:gridCol w:w="6098"/>
        <w:gridCol w:w="1821"/>
      </w:tblGrid>
      <w:tr>
        <w:trPr>
          <w:tblHeader w:val="true"/>
        </w:trPr>
        <w:tc>
          <w:tcPr/>
          <w:p>
            <w:pPr>
              <w:pStyle w:val="Compact"/>
              <w:jc w:val="left"/>
            </w:pPr>
            <w:r>
              <w:t xml:space="preserve">Result</w:t>
            </w:r>
          </w:p>
        </w:tc>
        <w:tc>
          <w:tcPr/>
          <w:p>
            <w:pPr>
              <w:pStyle w:val="Compact"/>
              <w:jc w:val="left"/>
            </w:pPr>
            <w:r>
              <w:t xml:space="preserve">Module</w:t>
            </w:r>
          </w:p>
        </w:tc>
      </w:tr>
      <w:tr>
        <w:tc>
          <w:tcPr/>
          <w:p>
            <w:pPr>
              <w:pStyle w:val="Compact"/>
              <w:jc w:val="left"/>
            </w:pPr>
            <w:r>
              <w:t xml:space="preserve">Root Theorem — descent goes constant at depth</w:t>
            </w:r>
            <w:r>
              <w:t xml:space="preserve"> </w:t>
            </w:r>
            <w:r>
              <w:rPr>
                <w:iCs/>
                <w:i/>
              </w:rPr>
              <w:t xml:space="preserve">k</w:t>
            </w:r>
            <w:r>
              <w:t xml:space="preserve">, constant is</w:t>
            </w:r>
            <w:r>
              <w:t xml:space="preserve"> </w:t>
            </w:r>
            <w:r>
              <w:rPr>
                <w:iCs/>
                <w:i/>
              </w:rPr>
              <w:t xml:space="preserve">k</w:t>
            </w:r>
            <w:r>
              <w:t xml:space="preserve">!</w:t>
            </w:r>
          </w:p>
        </w:tc>
        <w:tc>
          <w:tcPr/>
          <w:p>
            <w:pPr>
              <w:pStyle w:val="Compact"/>
              <w:jc w:val="left"/>
            </w:pPr>
            <w:r>
              <w:t xml:space="preserve">1 §9</w:t>
            </w:r>
          </w:p>
        </w:tc>
      </w:tr>
      <w:tr>
        <w:tc>
          <w:tcPr/>
          <w:p>
            <w:pPr>
              <w:pStyle w:val="Compact"/>
              <w:jc w:val="left"/>
            </w:pPr>
            <w:r>
              <w:t xml:space="preserve">Two independent proofs of it — degree descent, and counting surjections</w:t>
            </w:r>
          </w:p>
        </w:tc>
        <w:tc>
          <w:tcPr/>
          <w:p>
            <w:pPr>
              <w:pStyle w:val="Compact"/>
              <w:jc w:val="left"/>
            </w:pPr>
            <w:r>
              <w:t xml:space="preserve">1 §9.5, §9.6</w:t>
            </w:r>
          </w:p>
        </w:tc>
      </w:tr>
      <w:tr>
        <w:tc>
          <w:tcPr/>
          <w:p>
            <w:pPr>
              <w:pStyle w:val="Compact"/>
              <w:jc w:val="left"/>
            </w:pPr>
            <w:r>
              <w:t xml:space="preserve">Root Law —</w:t>
            </w:r>
            <w:r>
              <w:t xml:space="preserve"> </w:t>
            </w:r>
            <w:r>
              <w:rPr>
                <w:rStyle w:val="VerbatimChar"/>
              </w:rPr>
              <w:t xml:space="preserve">R = A·k!</w:t>
            </w:r>
            <w:r>
              <w:t xml:space="preserve">, the Root sees only degree and leading coefficient</w:t>
            </w:r>
          </w:p>
        </w:tc>
        <w:tc>
          <w:tcPr/>
          <w:p>
            <w:pPr>
              <w:pStyle w:val="Compact"/>
              <w:jc w:val="left"/>
            </w:pPr>
            <w:r>
              <w:t xml:space="preserve">1 §10</w:t>
            </w:r>
          </w:p>
        </w:tc>
      </w:tr>
      <w:tr>
        <w:tc>
          <w:tcPr/>
          <w:p>
            <w:pPr>
              <w:pStyle w:val="Compact"/>
              <w:jc w:val="left"/>
            </w:pPr>
            <w:r>
              <w:t xml:space="preserve">Reading a tree backwards to recover degree and leading coefficient</w:t>
            </w:r>
          </w:p>
        </w:tc>
        <w:tc>
          <w:tcPr/>
          <w:p>
            <w:pPr>
              <w:pStyle w:val="Compact"/>
              <w:jc w:val="left"/>
            </w:pPr>
            <w:r>
              <w:t xml:space="preserve">1 §11</w:t>
            </w:r>
          </w:p>
        </w:tc>
      </w:tr>
      <w:tr>
        <w:tc>
          <w:tcPr/>
          <w:p>
            <w:pPr>
              <w:pStyle w:val="Compact"/>
              <w:jc w:val="left"/>
            </w:pPr>
            <w:r>
              <w:t xml:space="preserve">Comparative Split is irreversible if the sign channel is discarded</w:t>
            </w:r>
          </w:p>
        </w:tc>
        <w:tc>
          <w:tcPr/>
          <w:p>
            <w:pPr>
              <w:pStyle w:val="Compact"/>
              <w:jc w:val="left"/>
            </w:pPr>
            <w:r>
              <w:t xml:space="preserve">1 §6.3</w:t>
            </w:r>
          </w:p>
        </w:tc>
      </w:tr>
      <w:tr>
        <w:tc>
          <w:tcPr/>
          <w:p>
            <w:pPr>
              <w:pStyle w:val="Compact"/>
              <w:jc w:val="left"/>
            </w:pPr>
            <w:r>
              <w:t xml:space="preserve">Ratio Root Theorem — geometric roots at depth 1, value</w:t>
            </w:r>
            <w:r>
              <w:t xml:space="preserve"> </w:t>
            </w:r>
            <w:r>
              <w:rPr>
                <w:iCs/>
                <w:i/>
              </w:rPr>
              <w:t xml:space="preserve">r</w:t>
            </w:r>
          </w:p>
        </w:tc>
        <w:tc>
          <w:tcPr/>
          <w:p>
            <w:pPr>
              <w:pStyle w:val="Compact"/>
              <w:jc w:val="left"/>
            </w:pPr>
            <w:r>
              <w:t xml:space="preserve">2 §2.3</w:t>
            </w:r>
          </w:p>
        </w:tc>
      </w:tr>
      <w:tr>
        <w:tc>
          <w:tcPr/>
          <w:p>
            <w:pPr>
              <w:pStyle w:val="Compact"/>
              <w:jc w:val="left"/>
            </w:pPr>
            <w:r>
              <w:t xml:space="preserve">The Bridge —</w:t>
            </w:r>
            <w:r>
              <w:t xml:space="preserve"> </w:t>
            </w:r>
            <w:r>
              <w:rPr>
                <w:rStyle w:val="VerbatimChar"/>
              </w:rPr>
              <w:t xml:space="preserve">ratio = exp ∘ difference ∘ log</w:t>
            </w:r>
          </w:p>
        </w:tc>
        <w:tc>
          <w:tcPr/>
          <w:p>
            <w:pPr>
              <w:pStyle w:val="Compact"/>
              <w:jc w:val="left"/>
            </w:pPr>
            <w:r>
              <w:t xml:space="preserve">2 §6.2</w:t>
            </w:r>
          </w:p>
        </w:tc>
      </w:tr>
      <w:tr>
        <w:tc>
          <w:tcPr/>
          <w:p>
            <w:pPr>
              <w:pStyle w:val="Compact"/>
              <w:jc w:val="left"/>
            </w:pPr>
            <w:r>
              <w:t xml:space="preserve">Difference is total; ratio is partial</w:t>
            </w:r>
          </w:p>
        </w:tc>
        <w:tc>
          <w:tcPr/>
          <w:p>
            <w:pPr>
              <w:pStyle w:val="Compact"/>
              <w:jc w:val="left"/>
            </w:pPr>
            <w:r>
              <w:t xml:space="preserve">2 §4.2</w:t>
            </w:r>
          </w:p>
        </w:tc>
      </w:tr>
      <w:tr>
        <w:tc>
          <w:tcPr/>
          <w:p>
            <w:pPr>
              <w:pStyle w:val="Compact"/>
              <w:jc w:val="left"/>
            </w:pPr>
            <w:r>
              <w:rPr>
                <w:rStyle w:val="VerbatimChar"/>
              </w:rPr>
              <w:t xml:space="preserve">Δ(rⁿ) = rⁿ(r−1)</w:t>
            </w:r>
            <w:r>
              <w:t xml:space="preserve"> </w:t>
            </w:r>
            <w:r>
              <w:t xml:space="preserve">— differencing</w:t>
            </w:r>
            <w:r>
              <w:t xml:space="preserve"> </w:t>
            </w:r>
            <w:r>
              <w:rPr>
                <w:iCs/>
                <w:i/>
              </w:rPr>
              <w:t xml:space="preserve">scales</w:t>
            </w:r>
            <w:r>
              <w:t xml:space="preserve"> </w:t>
            </w:r>
            <w:r>
              <w:t xml:space="preserve">geometrics, never reduces them</w:t>
            </w:r>
          </w:p>
        </w:tc>
        <w:tc>
          <w:tcPr/>
          <w:p>
            <w:pPr>
              <w:pStyle w:val="Compact"/>
              <w:jc w:val="left"/>
            </w:pPr>
            <w:r>
              <w:t xml:space="preserve">2 §7</w:t>
            </w:r>
          </w:p>
        </w:tc>
      </w:tr>
      <w:tr>
        <w:tc>
          <w:tcPr/>
          <w:p>
            <w:pPr>
              <w:pStyle w:val="Compact"/>
              <w:jc w:val="left"/>
            </w:pPr>
            <w:r>
              <w:t xml:space="preserve">Non-termination is invisible in finite data</w:t>
            </w:r>
          </w:p>
        </w:tc>
        <w:tc>
          <w:tcPr/>
          <w:p>
            <w:pPr>
              <w:pStyle w:val="Compact"/>
              <w:jc w:val="left"/>
            </w:pPr>
            <w:r>
              <w:t xml:space="preserve">2 §8</w:t>
            </w:r>
          </w:p>
        </w:tc>
      </w:tr>
      <w:tr>
        <w:tc>
          <w:tcPr/>
          <w:p>
            <w:pPr>
              <w:pStyle w:val="Compact"/>
              <w:jc w:val="left"/>
            </w:pPr>
            <w:r>
              <w:t xml:space="preserve">Fibonacci gap exact at every step —</w:t>
            </w:r>
            <w:r>
              <w:t xml:space="preserve"> </w:t>
            </w:r>
            <w:r>
              <w:rPr>
                <w:rStyle w:val="VerbatimChar"/>
              </w:rPr>
              <w:t xml:space="preserve">(−1)ⁿ/(φⁿFₙ)</w:t>
            </w:r>
            <w:r>
              <w:t xml:space="preserve"> </w:t>
            </w:r>
            <w:r>
              <w:t xml:space="preserve">and</w:t>
            </w:r>
            <w:r>
              <w:t xml:space="preserve"> </w:t>
            </w:r>
            <w:r>
              <w:rPr>
                <w:rStyle w:val="VerbatimChar"/>
              </w:rPr>
              <w:t xml:space="preserve">(−1)ⁿ/Fₙ²</w:t>
            </w:r>
          </w:p>
        </w:tc>
        <w:tc>
          <w:tcPr/>
          <w:p>
            <w:pPr>
              <w:pStyle w:val="Compact"/>
              <w:jc w:val="left"/>
            </w:pPr>
            <w:r>
              <w:t xml:space="preserve">2 §10</w:t>
            </w:r>
          </w:p>
        </w:tc>
      </w:tr>
      <w:tr>
        <w:tc>
          <w:tcPr/>
          <w:p>
            <w:pPr>
              <w:pStyle w:val="Compact"/>
              <w:jc w:val="left"/>
            </w:pPr>
            <w:r>
              <w:t xml:space="preserve">φ is the fixed point of</w:t>
            </w:r>
            <w:r>
              <w:t xml:space="preserve"> </w:t>
            </w:r>
            <w:r>
              <w:rPr>
                <w:rStyle w:val="VerbatimChar"/>
              </w:rPr>
              <w:t xml:space="preserve">x = 1 + 1/x</w:t>
            </w:r>
          </w:p>
        </w:tc>
        <w:tc>
          <w:tcPr/>
          <w:p>
            <w:pPr>
              <w:pStyle w:val="Compact"/>
              <w:jc w:val="left"/>
            </w:pPr>
            <w:r>
              <w:t xml:space="preserve">2 §10.3</w:t>
            </w:r>
          </w:p>
        </w:tc>
      </w:tr>
      <w:tr>
        <w:tc>
          <w:tcPr/>
          <w:p>
            <w:pPr>
              <w:pStyle w:val="Compact"/>
              <w:jc w:val="left"/>
            </w:pPr>
            <w:r>
              <w:t xml:space="preserve">Tuned Root Theorem —</w:t>
            </w:r>
            <w:r>
              <w:t xml:space="preserve"> </w:t>
            </w:r>
            <w:r>
              <w:rPr>
                <w:rStyle w:val="VerbatimChar"/>
              </w:rPr>
              <w:t xml:space="preserve">p(n)rⁿ</w:t>
            </w:r>
            <w:r>
              <w:t xml:space="preserve"> </w:t>
            </w:r>
            <w:r>
              <w:t xml:space="preserve">dies at depth</w:t>
            </w:r>
            <w:r>
              <w:t xml:space="preserve"> </w:t>
            </w:r>
            <w:r>
              <w:rPr>
                <w:rStyle w:val="VerbatimChar"/>
              </w:rPr>
              <w:t xml:space="preserve">k+1</w:t>
            </w:r>
          </w:p>
        </w:tc>
        <w:tc>
          <w:tcPr/>
          <w:p>
            <w:pPr>
              <w:pStyle w:val="Compact"/>
              <w:jc w:val="left"/>
            </w:pPr>
            <w:r>
              <w:t xml:space="preserve">3 §2.4</w:t>
            </w:r>
          </w:p>
        </w:tc>
      </w:tr>
      <w:tr>
        <w:tc>
          <w:tcPr/>
          <w:p>
            <w:pPr>
              <w:pStyle w:val="Compact"/>
              <w:jc w:val="left"/>
            </w:pPr>
            <w:r>
              <w:t xml:space="preserve">The tuned difference contains Modules 1 and 2 as special cases</w:t>
            </w:r>
          </w:p>
        </w:tc>
        <w:tc>
          <w:tcPr/>
          <w:p>
            <w:pPr>
              <w:pStyle w:val="Compact"/>
              <w:jc w:val="left"/>
            </w:pPr>
            <w:r>
              <w:t xml:space="preserve">3 §3</w:t>
            </w:r>
          </w:p>
        </w:tc>
      </w:tr>
      <w:tr>
        <w:tc>
          <w:tcPr/>
          <w:p>
            <w:pPr>
              <w:pStyle w:val="Compact"/>
              <w:jc w:val="left"/>
            </w:pPr>
            <w:r>
              <w:t xml:space="preserve">Damage wedge — signed binomial, right edge is the corrupted index</w:t>
            </w:r>
          </w:p>
        </w:tc>
        <w:tc>
          <w:tcPr/>
          <w:p>
            <w:pPr>
              <w:pStyle w:val="Compact"/>
              <w:jc w:val="left"/>
            </w:pPr>
            <w:r>
              <w:t xml:space="preserve">3 §5.3</w:t>
            </w:r>
          </w:p>
        </w:tc>
      </w:tr>
      <w:tr>
        <w:tc>
          <w:tcPr/>
          <w:p>
            <w:pPr>
              <w:pStyle w:val="Compact"/>
              <w:jc w:val="left"/>
            </w:pPr>
            <w:r>
              <w:t xml:space="preserve">Left edge rebuilds the tree;</w:t>
            </w:r>
            <w:r>
              <w:t xml:space="preserve"> </w:t>
            </w:r>
            <w:r>
              <w:rPr>
                <w:rStyle w:val="VerbatimChar"/>
              </w:rPr>
              <w:t xml:space="preserve">k+1</w:t>
            </w:r>
            <w:r>
              <w:t xml:space="preserve"> </w:t>
            </w:r>
            <w:r>
              <w:t xml:space="preserve">numbers is minimal</w:t>
            </w:r>
          </w:p>
        </w:tc>
        <w:tc>
          <w:tcPr/>
          <w:p>
            <w:pPr>
              <w:pStyle w:val="Compact"/>
              <w:jc w:val="left"/>
            </w:pPr>
            <w:r>
              <w:t xml:space="preserve">3 §6</w:t>
            </w:r>
          </w:p>
        </w:tc>
      </w:tr>
      <w:tr>
        <w:tc>
          <w:tcPr/>
          <w:p>
            <w:pPr>
              <w:pStyle w:val="Compact"/>
              <w:jc w:val="left"/>
            </w:pPr>
            <w:r>
              <w:rPr>
                <w:rStyle w:val="VerbatimChar"/>
              </w:rPr>
              <w:t xml:space="preserve">h_φ ∘ h_ψ</w:t>
            </w:r>
            <w:r>
              <w:t xml:space="preserve"> </w:t>
            </w:r>
            <w:r>
              <w:t xml:space="preserve">equals the integer three-term Fibonacci rule</w:t>
            </w:r>
          </w:p>
        </w:tc>
        <w:tc>
          <w:tcPr/>
          <w:p>
            <w:pPr>
              <w:pStyle w:val="Compact"/>
              <w:jc w:val="left"/>
            </w:pPr>
            <w:r>
              <w:t xml:space="preserve">3 §4.4</w:t>
            </w:r>
          </w:p>
        </w:tc>
      </w:tr>
      <w:tr>
        <w:tc>
          <w:tcPr/>
          <w:p>
            <w:pPr>
              <w:pStyle w:val="Compact"/>
              <w:jc w:val="left"/>
            </w:pPr>
            <w:r>
              <w:t xml:space="preserve">The lineage commutes with encoding, digit-wise, no carrying</w:t>
            </w:r>
          </w:p>
        </w:tc>
        <w:tc>
          <w:tcPr/>
          <w:p>
            <w:pPr>
              <w:pStyle w:val="Compact"/>
              <w:jc w:val="left"/>
            </w:pPr>
            <w:r>
              <w:t xml:space="preserve">4 §7</w:t>
            </w:r>
          </w:p>
        </w:tc>
      </w:tr>
      <w:tr>
        <w:tc>
          <w:tcPr/>
          <w:p>
            <w:pPr>
              <w:pStyle w:val="Compact"/>
              <w:jc w:val="left"/>
            </w:pPr>
            <w:r>
              <w:t xml:space="preserve">Carrying and borrowing are normalisation, not arithmetic</w:t>
            </w:r>
          </w:p>
        </w:tc>
        <w:tc>
          <w:tcPr/>
          <w:p>
            <w:pPr>
              <w:pStyle w:val="Compact"/>
              <w:jc w:val="left"/>
            </w:pPr>
            <w:r>
              <w:t xml:space="preserve">4 §8.2</w:t>
            </w:r>
          </w:p>
        </w:tc>
      </w:tr>
      <w:tr>
        <w:tc>
          <w:tcPr/>
          <w:p>
            <w:pPr>
              <w:pStyle w:val="Compact"/>
              <w:jc w:val="left"/>
            </w:pPr>
            <w:r>
              <w:t xml:space="preserve">Multiplication is carry-free but convolves</w:t>
            </w:r>
          </w:p>
        </w:tc>
        <w:tc>
          <w:tcPr/>
          <w:p>
            <w:pPr>
              <w:pStyle w:val="Compact"/>
              <w:jc w:val="left"/>
            </w:pPr>
            <w:r>
              <w:t xml:space="preserve">4 §8.5</w:t>
            </w:r>
          </w:p>
        </w:tc>
      </w:tr>
      <w:tr>
        <w:tc>
          <w:tcPr/>
          <w:p>
            <w:pPr>
              <w:pStyle w:val="Compact"/>
              <w:jc w:val="left"/>
            </w:pPr>
            <w:r>
              <w:t xml:space="preserve">Comparison forces normalisation; computation defers it</w:t>
            </w:r>
          </w:p>
        </w:tc>
        <w:tc>
          <w:tcPr/>
          <w:p>
            <w:pPr>
              <w:pStyle w:val="Compact"/>
              <w:jc w:val="left"/>
            </w:pPr>
            <w:r>
              <w:t xml:space="preserve">4 §8.6</w:t>
            </w:r>
          </w:p>
        </w:tc>
      </w:tr>
      <w:tr>
        <w:tc>
          <w:tcPr/>
          <w:p>
            <w:pPr>
              <w:pStyle w:val="Compact"/>
              <w:jc w:val="left"/>
            </w:pPr>
            <w:r>
              <w:t xml:space="preserve">A number base must have at least two symbols</w:t>
            </w:r>
          </w:p>
        </w:tc>
        <w:tc>
          <w:tcPr/>
          <w:p>
            <w:pPr>
              <w:pStyle w:val="Compact"/>
              <w:jc w:val="left"/>
            </w:pPr>
            <w:r>
              <w:t xml:space="preserve">4 §4.3</w:t>
            </w:r>
          </w:p>
        </w:tc>
      </w:tr>
      <w:tr>
        <w:tc>
          <w:tcPr/>
          <w:p>
            <w:pPr>
              <w:pStyle w:val="Compact"/>
              <w:jc w:val="left"/>
            </w:pPr>
            <w:r>
              <w:t xml:space="preserve">The sum lineage is the tuned difference at</w:t>
            </w:r>
            <w:r>
              <w:t xml:space="preserve"> </w:t>
            </w:r>
            <w:r>
              <w:rPr>
                <w:rStyle w:val="VerbatimChar"/>
              </w:rPr>
              <w:t xml:space="preserve">r = −1</w:t>
            </w:r>
          </w:p>
        </w:tc>
        <w:tc>
          <w:tcPr/>
          <w:p>
            <w:pPr>
              <w:pStyle w:val="Compact"/>
              <w:jc w:val="left"/>
            </w:pPr>
            <w:r>
              <w:t xml:space="preserve">5 §4.1</w:t>
            </w:r>
          </w:p>
        </w:tc>
      </w:tr>
      <w:tr>
        <w:tc>
          <w:tcPr/>
          <w:p>
            <w:pPr>
              <w:pStyle w:val="Compact"/>
              <w:jc w:val="left"/>
            </w:pPr>
            <w:r>
              <w:t xml:space="preserve">Difference and sum are one triangle, signed and unsigned</w:t>
            </w:r>
          </w:p>
        </w:tc>
        <w:tc>
          <w:tcPr/>
          <w:p>
            <w:pPr>
              <w:pStyle w:val="Compact"/>
              <w:jc w:val="left"/>
            </w:pPr>
            <w:r>
              <w:t xml:space="preserve">5 §5.2</w:t>
            </w:r>
          </w:p>
        </w:tc>
      </w:tr>
      <w:tr>
        <w:tc>
          <w:tcPr/>
          <w:p>
            <w:pPr>
              <w:pStyle w:val="Compact"/>
              <w:jc w:val="left"/>
            </w:pPr>
            <w:r>
              <w:rPr>
                <w:rStyle w:val="VerbatimChar"/>
              </w:rPr>
              <w:t xml:space="preserve">product = exp ∘ sum ∘ log</w:t>
            </w:r>
          </w:p>
        </w:tc>
        <w:tc>
          <w:tcPr/>
          <w:p>
            <w:pPr>
              <w:pStyle w:val="Compact"/>
              <w:jc w:val="left"/>
            </w:pPr>
            <w:r>
              <w:t xml:space="preserve">5 §7</w:t>
            </w:r>
          </w:p>
        </w:tc>
      </w:tr>
      <w:tr>
        <w:tc>
          <w:tcPr/>
          <w:p>
            <w:pPr>
              <w:pStyle w:val="Compact"/>
              <w:jc w:val="left"/>
            </w:pPr>
            <w:r>
              <w:t xml:space="preserve">The terminator is the identity of its arithmetic — across all four</w:t>
            </w:r>
          </w:p>
        </w:tc>
        <w:tc>
          <w:tcPr/>
          <w:p>
            <w:pPr>
              <w:pStyle w:val="Compact"/>
              <w:jc w:val="left"/>
            </w:pPr>
            <w:r>
              <w:t xml:space="preserve">5 §8.1</w:t>
            </w:r>
          </w:p>
        </w:tc>
      </w:tr>
      <w:tr>
        <w:tc>
          <w:tcPr/>
          <w:p>
            <w:pPr>
              <w:pStyle w:val="Compact"/>
              <w:jc w:val="left"/>
            </w:pPr>
            <w:r>
              <w:t xml:space="preserve">Stride-two difference factors as difference ∘ sum</w:t>
            </w:r>
          </w:p>
        </w:tc>
        <w:tc>
          <w:tcPr/>
          <w:p>
            <w:pPr>
              <w:pStyle w:val="Compact"/>
              <w:jc w:val="left"/>
            </w:pPr>
            <w:r>
              <w:t xml:space="preserve">5 §8.2</w:t>
            </w:r>
          </w:p>
        </w:tc>
      </w:tr>
      <w:tr>
        <w:tc>
          <w:tcPr/>
          <w:p>
            <w:pPr>
              <w:pStyle w:val="Compact"/>
              <w:jc w:val="left"/>
            </w:pPr>
            <w:r>
              <w:t xml:space="preserve">All four relationships rebuild from one anchor</w:t>
            </w:r>
          </w:p>
        </w:tc>
        <w:tc>
          <w:tcPr/>
          <w:p>
            <w:pPr>
              <w:pStyle w:val="Compact"/>
              <w:jc w:val="left"/>
            </w:pPr>
            <w:r>
              <w:t xml:space="preserve">5 §9</w:t>
            </w:r>
          </w:p>
        </w:tc>
      </w:tr>
      <w:tr>
        <w:tc>
          <w:tcPr/>
          <w:p>
            <w:pPr>
              <w:pStyle w:val="Compact"/>
              <w:jc w:val="left"/>
            </w:pPr>
            <w:r>
              <w:t xml:space="preserve">A Direct Substring commutes with the lineage iff it is linear</w:t>
            </w:r>
          </w:p>
        </w:tc>
        <w:tc>
          <w:tcPr/>
          <w:p>
            <w:pPr>
              <w:pStyle w:val="Compact"/>
              <w:jc w:val="left"/>
            </w:pPr>
            <w:r>
              <w:t xml:space="preserve">5 §10.1</w:t>
            </w:r>
          </w:p>
        </w:tc>
      </w:tr>
      <w:tr>
        <w:tc>
          <w:tcPr/>
          <w:p>
            <w:pPr>
              <w:pStyle w:val="Compact"/>
              <w:jc w:val="left"/>
            </w:pPr>
            <w:r>
              <w:t xml:space="preserve">Zero is unique whenever</w:t>
            </w:r>
            <w:r>
              <w:t xml:space="preserve"> </w:t>
            </w:r>
            <w:r>
              <w:rPr>
                <w:rStyle w:val="VerbatimChar"/>
              </w:rPr>
              <w:t xml:space="preserve">a ≤ r − 1</w:t>
            </w:r>
          </w:p>
        </w:tc>
        <w:tc>
          <w:tcPr/>
          <w:p>
            <w:pPr>
              <w:pStyle w:val="Compact"/>
              <w:jc w:val="left"/>
            </w:pPr>
            <w:r>
              <w:t xml:space="preserve">6 §4</w:t>
            </w:r>
          </w:p>
        </w:tc>
      </w:tr>
      <w:tr>
        <w:tc>
          <w:tcPr/>
          <w:p>
            <w:pPr>
              <w:pStyle w:val="Compact"/>
              <w:jc w:val="left"/>
            </w:pPr>
            <w:r>
              <w:t xml:space="preserve">Unique zero and carry-free together force</w:t>
            </w:r>
            <w:r>
              <w:t xml:space="preserve"> </w:t>
            </w:r>
            <w:r>
              <w:rPr>
                <w:rStyle w:val="VerbatimChar"/>
              </w:rPr>
              <w:t xml:space="preserve">r ≥ 3</w:t>
            </w:r>
          </w:p>
        </w:tc>
        <w:tc>
          <w:tcPr/>
          <w:p>
            <w:pPr>
              <w:pStyle w:val="Compact"/>
              <w:jc w:val="left"/>
            </w:pPr>
            <w:r>
              <w:t xml:space="preserve">6 §6.2</w:t>
            </w:r>
          </w:p>
        </w:tc>
      </w:tr>
      <w:tr>
        <w:tc>
          <w:tcPr/>
          <w:p>
            <w:pPr>
              <w:pStyle w:val="Compact"/>
              <w:jc w:val="left"/>
            </w:pPr>
            <w:r>
              <w:t xml:space="preserve">At radix 3 the digit set is</w:t>
            </w:r>
            <w:r>
              <w:t xml:space="preserve"> </w:t>
            </w:r>
            <w:r>
              <w:rPr>
                <w:rStyle w:val="VerbatimChar"/>
              </w:rPr>
              <w:t xml:space="preserve">{−2 … 2}</w:t>
            </w:r>
            <w:r>
              <w:t xml:space="preserve">, uniquely</w:t>
            </w:r>
          </w:p>
        </w:tc>
        <w:tc>
          <w:tcPr/>
          <w:p>
            <w:pPr>
              <w:pStyle w:val="Compact"/>
              <w:jc w:val="left"/>
            </w:pPr>
            <w:r>
              <w:t xml:space="preserve">6 §6.2</w:t>
            </w:r>
          </w:p>
        </w:tc>
      </w:tr>
      <w:tr>
        <w:tc>
          <w:tcPr/>
          <w:p>
            <w:pPr>
              <w:pStyle w:val="Compact"/>
              <w:jc w:val="left"/>
            </w:pPr>
            <w:r>
              <w:t xml:space="preserve">Binary admits no carry-free signed-digit addition</w:t>
            </w:r>
          </w:p>
        </w:tc>
        <w:tc>
          <w:tcPr/>
          <w:p>
            <w:pPr>
              <w:pStyle w:val="Compact"/>
              <w:jc w:val="left"/>
            </w:pPr>
            <w:r>
              <w:t xml:space="preserve">6 §7</w:t>
            </w:r>
          </w:p>
        </w:tc>
      </w:tr>
      <w:tr>
        <w:tc>
          <w:tcPr/>
          <w:p>
            <w:pPr>
              <w:pStyle w:val="Compact"/>
              <w:jc w:val="left"/>
            </w:pPr>
            <w:r>
              <w:t xml:space="preserve">A process answering by termination never normalises</w:t>
            </w:r>
          </w:p>
        </w:tc>
        <w:tc>
          <w:tcPr/>
          <w:p>
            <w:pPr>
              <w:pStyle w:val="Compact"/>
              <w:jc w:val="left"/>
            </w:pPr>
            <w:r>
              <w:t xml:space="preserve">6 §11</w:t>
            </w:r>
          </w:p>
        </w:tc>
      </w:tr>
    </w:tbl>
    <w:p>
      <w:r>
        <w:pict>
          <v:rect style="width:0;height:1.5pt" o:hralign="center" o:hrstd="t" o:hr="t"/>
        </w:pict>
      </w:r>
    </w:p>
    <w:bookmarkEnd w:id="32"/>
    <w:bookmarkStart w:id="33" w:name="notation-across-the-series"/>
    <w:p>
      <w:pPr>
        <w:pStyle w:val="Heading1"/>
      </w:pPr>
      <w:r>
        <w:t xml:space="preserve">5. Notation Across the Series</w:t>
      </w:r>
    </w:p>
    <w:tbl>
      <w:tblPr>
        <w:tblStyle w:val="Table"/>
        <w:tblW w:type="pct" w:w="5000"/>
        <w:tblLook w:firstRow="1" w:lastRow="0" w:firstColumn="0" w:lastColumn="0" w:noHBand="0" w:noVBand="0" w:val="0020"/>
        <w:jc w:val="start"/>
      </w:tblPr>
      <w:tblGrid>
        <w:gridCol w:w="2138"/>
        <w:gridCol w:w="3643"/>
        <w:gridCol w:w="2138"/>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Introduced</w:t>
            </w:r>
          </w:p>
        </w:tc>
      </w:tr>
      <w:tr>
        <w:tc>
          <w:tcPr/>
          <w:p>
            <w:pPr>
              <w:pStyle w:val="Compact"/>
              <w:jc w:val="left"/>
            </w:pPr>
            <w:r>
              <w:t xml:space="preserve">P</w:t>
            </w:r>
            <w:r>
              <w:rPr>
                <w:vertAlign w:val="superscript"/>
              </w:rPr>
              <w:t xml:space="preserve">f</w:t>
            </w:r>
          </w:p>
        </w:tc>
        <w:tc>
          <w:tcPr/>
          <w:p>
            <w:pPr>
              <w:pStyle w:val="Compact"/>
              <w:jc w:val="left"/>
            </w:pPr>
            <w:r>
              <w:t xml:space="preserve">Prime String — a seed and a rule applied repeatedly</w:t>
            </w:r>
          </w:p>
        </w:tc>
        <w:tc>
          <w:tcPr/>
          <w:p>
            <w:pPr>
              <w:pStyle w:val="Compact"/>
              <w:jc w:val="left"/>
            </w:pPr>
            <w:r>
              <w:t xml:space="preserve">1 §3</w:t>
            </w:r>
          </w:p>
        </w:tc>
      </w:tr>
      <w:tr>
        <w:tc>
          <w:tcPr/>
          <w:p>
            <w:pPr>
              <w:pStyle w:val="Compact"/>
              <w:jc w:val="left"/>
            </w:pPr>
            <w:r>
              <w:t xml:space="preserve">B</w:t>
            </w:r>
            <w:r>
              <w:rPr>
                <w:vertAlign w:val="superscript"/>
              </w:rPr>
              <w:t xml:space="preserve">k|f</w:t>
            </w:r>
          </w:p>
        </w:tc>
        <w:tc>
          <w:tcPr/>
          <w:p>
            <w:pPr>
              <w:pStyle w:val="Compact"/>
              <w:jc w:val="left"/>
            </w:pPr>
            <w:r>
              <w:t xml:space="preserve">Base String — each Prime value raised to the power</w:t>
            </w:r>
            <w:r>
              <w:t xml:space="preserve"> </w:t>
            </w:r>
            <w:r>
              <w:rPr>
                <w:iCs/>
                <w:i/>
              </w:rPr>
              <w:t xml:space="preserve">k</w:t>
            </w:r>
          </w:p>
        </w:tc>
        <w:tc>
          <w:tcPr/>
          <w:p>
            <w:pPr>
              <w:pStyle w:val="Compact"/>
              <w:jc w:val="left"/>
            </w:pPr>
            <w:r>
              <w:t xml:space="preserve">1 §4</w:t>
            </w:r>
          </w:p>
        </w:tc>
      </w:tr>
      <w:tr>
        <w:tc>
          <w:tcPr/>
          <w:p>
            <w:pPr>
              <w:pStyle w:val="Compact"/>
              <w:jc w:val="left"/>
            </w:pPr>
            <w:r>
              <w:t xml:space="preserve">jS</w:t>
            </w:r>
            <w:r>
              <w:rPr>
                <w:vertAlign w:val="superscript"/>
              </w:rPr>
              <w:t xml:space="preserve">k|f</w:t>
            </w:r>
          </w:p>
        </w:tc>
        <w:tc>
          <w:tcPr/>
          <w:p>
            <w:pPr>
              <w:pStyle w:val="Compact"/>
              <w:jc w:val="left"/>
            </w:pPr>
            <w:r>
              <w:t xml:space="preserve">The</w:t>
            </w:r>
            <w:r>
              <w:t xml:space="preserve"> </w:t>
            </w:r>
            <w:r>
              <w:rPr>
                <w:iCs/>
                <w:i/>
              </w:rPr>
              <w:t xml:space="preserve">j</w:t>
            </w:r>
            <w:r>
              <w:t xml:space="preserve">-th substring</w:t>
            </w:r>
          </w:p>
        </w:tc>
        <w:tc>
          <w:tcPr/>
          <w:p>
            <w:pPr>
              <w:pStyle w:val="Compact"/>
              <w:jc w:val="left"/>
            </w:pPr>
            <w:r>
              <w:t xml:space="preserve">1 §5</w:t>
            </w:r>
          </w:p>
        </w:tc>
      </w:tr>
      <w:tr>
        <w:tc>
          <w:tcPr/>
          <w:p>
            <w:pPr>
              <w:pStyle w:val="Compact"/>
              <w:jc w:val="left"/>
            </w:pPr>
            <w:r>
              <w:rPr>
                <w:rStyle w:val="VerbatimChar"/>
              </w:rPr>
              <w:t xml:space="preserve">0S = B</w:t>
            </w:r>
          </w:p>
        </w:tc>
        <w:tc>
          <w:tcPr/>
          <w:p>
            <w:pPr>
              <w:pStyle w:val="Compact"/>
              <w:jc w:val="left"/>
            </w:pPr>
            <w:r>
              <w:t xml:space="preserve">The Base String is the substring of depth zero</w:t>
            </w:r>
          </w:p>
        </w:tc>
        <w:tc>
          <w:tcPr/>
          <w:p>
            <w:pPr>
              <w:pStyle w:val="Compact"/>
              <w:jc w:val="left"/>
            </w:pPr>
            <w:r>
              <w:t xml:space="preserve">1 §2.3</w:t>
            </w:r>
          </w:p>
        </w:tc>
      </w:tr>
      <w:tr>
        <w:tc>
          <w:tcPr/>
          <w:p>
            <w:pPr>
              <w:pStyle w:val="Compact"/>
              <w:jc w:val="left"/>
            </w:pPr>
            <w:r>
              <w:rPr>
                <w:rStyle w:val="VerbatimChar"/>
              </w:rPr>
              <w:t xml:space="preserve">ᴰjS</w:t>
            </w:r>
            <w:r>
              <w:t xml:space="preserve"> </w:t>
            </w:r>
            <w:r>
              <w:t xml:space="preserve">,</w:t>
            </w:r>
            <w:r>
              <w:t xml:space="preserve"> </w:t>
            </w:r>
            <w:r>
              <w:rPr>
                <w:rStyle w:val="VerbatimChar"/>
              </w:rPr>
              <w:t xml:space="preserve">ᶜjS</w:t>
            </w:r>
          </w:p>
        </w:tc>
        <w:tc>
          <w:tcPr/>
          <w:p>
            <w:pPr>
              <w:pStyle w:val="Compact"/>
              <w:jc w:val="left"/>
            </w:pPr>
            <w:r>
              <w:t xml:space="preserve">Direct and Comparative substrings</w:t>
            </w:r>
          </w:p>
        </w:tc>
        <w:tc>
          <w:tcPr/>
          <w:p>
            <w:pPr>
              <w:pStyle w:val="Compact"/>
              <w:jc w:val="left"/>
            </w:pPr>
            <w:r>
              <w:t xml:space="preserve">1 §5.2, §5.3</w:t>
            </w:r>
          </w:p>
        </w:tc>
      </w:tr>
      <w:tr>
        <w:tc>
          <w:tcPr/>
          <w:p>
            <w:pPr>
              <w:pStyle w:val="Compact"/>
              <w:jc w:val="left"/>
            </w:pPr>
            <w:r>
              <w:t xml:space="preserve">[ sign | magnitude ]</w:t>
            </w:r>
          </w:p>
        </w:tc>
        <w:tc>
          <w:tcPr/>
          <w:p>
            <w:pPr>
              <w:pStyle w:val="Compact"/>
              <w:jc w:val="left"/>
            </w:pPr>
            <w:r>
              <w:t xml:space="preserve">The Comparative Split</w:t>
            </w:r>
          </w:p>
        </w:tc>
        <w:tc>
          <w:tcPr/>
          <w:p>
            <w:pPr>
              <w:pStyle w:val="Compact"/>
              <w:jc w:val="left"/>
            </w:pPr>
            <w:r>
              <w:t xml:space="preserve">1 §6</w:t>
            </w:r>
          </w:p>
        </w:tc>
      </w:tr>
      <w:tr>
        <w:tc>
          <w:tcPr/>
          <w:p>
            <w:pPr>
              <w:pStyle w:val="Compact"/>
              <w:jc w:val="left"/>
            </w:pPr>
            <w:r>
              <w:t xml:space="preserve">R</w:t>
            </w:r>
            <w:r>
              <w:rPr>
                <w:vertAlign w:val="superscript"/>
              </w:rPr>
              <w:t xml:space="preserve">k</w:t>
            </w:r>
          </w:p>
        </w:tc>
        <w:tc>
          <w:tcPr/>
          <w:p>
            <w:pPr>
              <w:pStyle w:val="Compact"/>
              <w:jc w:val="left"/>
            </w:pPr>
            <w:r>
              <w:t xml:space="preserve">The Root String value</w:t>
            </w:r>
          </w:p>
        </w:tc>
        <w:tc>
          <w:tcPr/>
          <w:p>
            <w:pPr>
              <w:pStyle w:val="Compact"/>
              <w:jc w:val="left"/>
            </w:pPr>
            <w:r>
              <w:t xml:space="preserve">1 §8</w:t>
            </w:r>
          </w:p>
        </w:tc>
      </w:tr>
      <w:tr>
        <w:tc>
          <w:tcPr/>
          <w:p>
            <w:pPr>
              <w:pStyle w:val="Compact"/>
              <w:jc w:val="left"/>
            </w:pPr>
            <w:r>
              <w:t xml:space="preserve">jS</w:t>
            </w:r>
            <w:r>
              <w:rPr>
                <w:vertAlign w:val="subscript"/>
              </w:rPr>
              <w:t xml:space="preserve">÷</w:t>
            </w:r>
          </w:p>
        </w:tc>
        <w:tc>
          <w:tcPr/>
          <w:p>
            <w:pPr>
              <w:pStyle w:val="Compact"/>
              <w:jc w:val="left"/>
            </w:pPr>
            <w:r>
              <w:t xml:space="preserve">A ratio substring</w:t>
            </w:r>
          </w:p>
        </w:tc>
        <w:tc>
          <w:tcPr/>
          <w:p>
            <w:pPr>
              <w:pStyle w:val="Compact"/>
              <w:jc w:val="left"/>
            </w:pPr>
            <w:r>
              <w:t xml:space="preserve">2 §2.1</w:t>
            </w:r>
          </w:p>
        </w:tc>
      </w:tr>
      <w:tr>
        <w:tc>
          <w:tcPr/>
          <w:p>
            <w:pPr>
              <w:pStyle w:val="Compact"/>
              <w:jc w:val="left"/>
            </w:pPr>
            <w:r>
              <w:t xml:space="preserve">[ direction | factor ]</w:t>
            </w:r>
          </w:p>
        </w:tc>
        <w:tc>
          <w:tcPr/>
          <w:p>
            <w:pPr>
              <w:pStyle w:val="Compact"/>
              <w:jc w:val="left"/>
            </w:pPr>
            <w:r>
              <w:t xml:space="preserve">The Split in multiplicative form</w:t>
            </w:r>
          </w:p>
        </w:tc>
        <w:tc>
          <w:tcPr/>
          <w:p>
            <w:pPr>
              <w:pStyle w:val="Compact"/>
              <w:jc w:val="left"/>
            </w:pPr>
            <w:r>
              <w:t xml:space="preserve">2 §5</w:t>
            </w:r>
          </w:p>
        </w:tc>
      </w:tr>
      <w:tr>
        <w:tc>
          <w:tcPr/>
          <w:p>
            <w:pPr>
              <w:pStyle w:val="Compact"/>
              <w:jc w:val="left"/>
            </w:pPr>
            <w:r>
              <w:t xml:space="preserve">h</w:t>
            </w:r>
            <w:r>
              <w:rPr>
                <w:vertAlign w:val="subscript"/>
              </w:rPr>
              <w:t xml:space="preserve">r</w:t>
            </w:r>
            <w:r>
              <w:t xml:space="preserve">(a,b) = b − r·a</w:t>
            </w:r>
          </w:p>
        </w:tc>
        <w:tc>
          <w:tcPr/>
          <w:p>
            <w:pPr>
              <w:pStyle w:val="Compact"/>
              <w:jc w:val="left"/>
            </w:pPr>
            <w:r>
              <w:t xml:space="preserve">The tuned difference, tuning</w:t>
            </w:r>
            <w:r>
              <w:t xml:space="preserve"> </w:t>
            </w:r>
            <w:r>
              <w:rPr>
                <w:iCs/>
                <w:i/>
              </w:rPr>
              <w:t xml:space="preserve">r</w:t>
            </w:r>
          </w:p>
        </w:tc>
        <w:tc>
          <w:tcPr/>
          <w:p>
            <w:pPr>
              <w:pStyle w:val="Compact"/>
              <w:jc w:val="left"/>
            </w:pPr>
            <w:r>
              <w:t xml:space="preserve">3 §2.1</w:t>
            </w:r>
          </w:p>
        </w:tc>
      </w:tr>
      <w:tr>
        <w:tc>
          <w:tcPr/>
          <w:p>
            <w:pPr>
              <w:pStyle w:val="Compact"/>
              <w:jc w:val="left"/>
            </w:pPr>
            <w:r>
              <w:t xml:space="preserve">jS</w:t>
            </w:r>
            <w:r>
              <w:rPr>
                <w:vertAlign w:val="subscript"/>
              </w:rPr>
              <w:t xml:space="preserve">(r)</w:t>
            </w:r>
          </w:p>
        </w:tc>
        <w:tc>
          <w:tcPr/>
          <w:p>
            <w:pPr>
              <w:pStyle w:val="Compact"/>
              <w:jc w:val="left"/>
            </w:pPr>
            <w:r>
              <w:t xml:space="preserve">Substring under the tuned difference</w:t>
            </w:r>
          </w:p>
        </w:tc>
        <w:tc>
          <w:tcPr/>
          <w:p>
            <w:pPr>
              <w:pStyle w:val="Compact"/>
              <w:jc w:val="left"/>
            </w:pPr>
            <w:r>
              <w:t xml:space="preserve">3 §2.1</w:t>
            </w:r>
          </w:p>
        </w:tc>
      </w:tr>
      <w:tr>
        <w:tc>
          <w:tcPr/>
          <w:p>
            <w:pPr>
              <w:pStyle w:val="Compact"/>
              <w:jc w:val="left"/>
            </w:pPr>
            <w:r>
              <w:rPr>
                <w:iCs/>
                <w:i/>
              </w:rPr>
              <w:t xml:space="preserve">r</w:t>
            </w:r>
            <w:r>
              <w:t xml:space="preserve"> </w:t>
            </w:r>
            <w:r>
              <w:t xml:space="preserve">,</w:t>
            </w:r>
            <w:r>
              <w:t xml:space="preserve"> </w:t>
            </w:r>
            <w:r>
              <w:rPr>
                <w:iCs/>
                <w:i/>
              </w:rPr>
              <w:t xml:space="preserve">a</w:t>
            </w:r>
          </w:p>
        </w:tc>
        <w:tc>
          <w:tcPr/>
          <w:p>
            <w:pPr>
              <w:pStyle w:val="Compact"/>
              <w:jc w:val="left"/>
            </w:pPr>
            <w:r>
              <w:t xml:space="preserve">Radix and digit bound</w:t>
            </w:r>
          </w:p>
        </w:tc>
        <w:tc>
          <w:tcPr/>
          <w:p>
            <w:pPr>
              <w:pStyle w:val="Compact"/>
              <w:jc w:val="left"/>
            </w:pPr>
            <w:r>
              <w:t xml:space="preserve">6 §2</w:t>
            </w:r>
          </w:p>
        </w:tc>
      </w:tr>
    </w:tbl>
    <w:p>
      <w:pPr>
        <w:pStyle w:val="BodyText"/>
      </w:pPr>
      <w:r>
        <w:rPr>
          <w:bCs/>
          <w:b/>
        </w:rPr>
        <w:t xml:space="preserve">One known weakness, recorded rather than hidden.</w:t>
      </w:r>
      <w:r>
        <w:t xml:space="preserve"> </w:t>
      </w:r>
      <w:r>
        <w:t xml:space="preserve">The Base String symbol carries the Prime-generating function in every occurrence, and in practice that function almost never varies.</w:t>
      </w:r>
      <w:r>
        <w:t xml:space="preserve"> </w:t>
      </w:r>
      <w:r>
        <w:rPr>
          <w:bCs/>
          <w:b/>
        </w:rPr>
        <w:t xml:space="preserve">Both readers who tested Module 1 stalled on the six-position symbol and neither stalled on the mathematics.</w:t>
      </w:r>
      <w:r>
        <w:t xml:space="preserve"> </w:t>
      </w:r>
      <w:r>
        <w:t xml:space="preserve">Dropping to B</w:t>
      </w:r>
      <w:r>
        <w:rPr>
          <w:vertAlign w:val="superscript"/>
        </w:rPr>
        <w:t xml:space="preserve">k</w:t>
      </w:r>
      <w:r>
        <w:t xml:space="preserve"> </w:t>
      </w:r>
      <w:r>
        <w:t xml:space="preserve">and naming the generating function in prose would cost nothing and remove the series’ single largest source of reader friction.</w:t>
      </w:r>
      <w:r>
        <w:t xml:space="preserve"> </w:t>
      </w:r>
      <w:r>
        <w:rPr>
          <w:bCs/>
          <w:b/>
        </w:rPr>
        <w:t xml:space="preserve">That is a change to the framework’s notation and is not made unilaterally here.</w:t>
      </w:r>
    </w:p>
    <w:p>
      <w:r>
        <w:pict>
          <v:rect style="width:0;height:1.5pt" o:hralign="center" o:hrstd="t" o:hr="t"/>
        </w:pict>
      </w:r>
    </w:p>
    <w:bookmarkEnd w:id="33"/>
    <w:bookmarkStart w:id="34" w:name="open-threads"/>
    <w:p>
      <w:pPr>
        <w:pStyle w:val="Heading1"/>
      </w:pPr>
      <w:r>
        <w:t xml:space="preserve">6. Open Threads</w:t>
      </w:r>
    </w:p>
    <w:p>
      <w:pPr>
        <w:pStyle w:val="FirstParagraph"/>
      </w:pPr>
      <w:r>
        <w:rPr>
          <w:bCs/>
          <w:b/>
        </w:rPr>
        <w:t xml:space="preserve">Named rather than promised</w:t>
      </w:r>
      <w:r>
        <w:t xml:space="preserve">, and carried forward so they do not drift.</w:t>
      </w:r>
    </w:p>
    <w:tbl>
      <w:tblPr>
        <w:tblStyle w:val="Table"/>
        <w:tblW w:type="pct" w:w="5000"/>
        <w:tblLook w:firstRow="1" w:lastRow="0" w:firstColumn="0" w:lastColumn="0" w:noHBand="0" w:noVBand="0" w:val="0020"/>
        <w:jc w:val="start"/>
      </w:tblPr>
      <w:tblGrid>
        <w:gridCol w:w="5940"/>
        <w:gridCol w:w="1980"/>
      </w:tblGrid>
      <w:tr>
        <w:trPr>
          <w:tblHeader w:val="true"/>
        </w:trPr>
        <w:tc>
          <w:tcPr/>
          <w:p>
            <w:pPr>
              <w:pStyle w:val="Compact"/>
              <w:jc w:val="left"/>
            </w:pPr>
            <w:r>
              <w:t xml:space="preserve">Thread</w:t>
            </w:r>
          </w:p>
        </w:tc>
        <w:tc>
          <w:tcPr/>
          <w:p>
            <w:pPr>
              <w:pStyle w:val="Compact"/>
              <w:jc w:val="left"/>
            </w:pPr>
            <w:r>
              <w:t xml:space="preserve">Where it was opened</w:t>
            </w:r>
          </w:p>
        </w:tc>
      </w:tr>
      <w:tr>
        <w:tc>
          <w:tcPr/>
          <w:p>
            <w:pPr>
              <w:pStyle w:val="Compact"/>
              <w:jc w:val="left"/>
            </w:pPr>
            <w:r>
              <w:t xml:space="preserve">Composite tunings where a ratio repeats</w:t>
            </w:r>
          </w:p>
        </w:tc>
        <w:tc>
          <w:tcPr/>
          <w:p>
            <w:pPr>
              <w:pStyle w:val="Compact"/>
              <w:jc w:val="left"/>
            </w:pPr>
            <w:r>
              <w:t xml:space="preserve">3 §10</w:t>
            </w:r>
          </w:p>
        </w:tc>
      </w:tr>
      <w:tr>
        <w:tc>
          <w:tcPr/>
          <w:p>
            <w:pPr>
              <w:pStyle w:val="Compact"/>
              <w:jc w:val="left"/>
            </w:pPr>
            <w:r>
              <w:t xml:space="preserve">Whether more than one error can be</w:t>
            </w:r>
            <w:r>
              <w:t xml:space="preserve"> </w:t>
            </w:r>
            <w:r>
              <w:rPr>
                <w:bCs/>
                <w:b/>
              </w:rPr>
              <w:t xml:space="preserve">corrected</w:t>
            </w:r>
            <w:r>
              <w:t xml:space="preserve">, not merely located</w:t>
            </w:r>
          </w:p>
        </w:tc>
        <w:tc>
          <w:tcPr/>
          <w:p>
            <w:pPr>
              <w:pStyle w:val="Compact"/>
              <w:jc w:val="left"/>
            </w:pPr>
            <w:r>
              <w:t xml:space="preserve">3 §5.5, §6.3</w:t>
            </w:r>
          </w:p>
        </w:tc>
      </w:tr>
      <w:tr>
        <w:tc>
          <w:tcPr/>
          <w:p>
            <w:pPr>
              <w:pStyle w:val="Compact"/>
              <w:jc w:val="left"/>
            </w:pPr>
            <w:r>
              <w:t xml:space="preserve">Multiplication inside a bounded digit set — what bound a convolution needs</w:t>
            </w:r>
          </w:p>
        </w:tc>
        <w:tc>
          <w:tcPr/>
          <w:p>
            <w:pPr>
              <w:pStyle w:val="Compact"/>
              <w:jc w:val="left"/>
            </w:pPr>
            <w:r>
              <w:t xml:space="preserve">6 §14</w:t>
            </w:r>
          </w:p>
        </w:tc>
      </w:tr>
      <w:tr>
        <w:tc>
          <w:tcPr/>
          <w:p>
            <w:pPr>
              <w:pStyle w:val="Compact"/>
              <w:jc w:val="left"/>
            </w:pPr>
            <w:r>
              <w:t xml:space="preserve">Relationships outside the four —</w:t>
            </w:r>
            <w:r>
              <w:t xml:space="preserve"> </w:t>
            </w:r>
            <w:r>
              <w:rPr>
                <w:rStyle w:val="VerbatimChar"/>
              </w:rPr>
              <w:t xml:space="preserve">max</w:t>
            </w:r>
            <w:r>
              <w:t xml:space="preserve">,</w:t>
            </w:r>
            <w:r>
              <w:t xml:space="preserve"> </w:t>
            </w:r>
            <w:r>
              <w:rPr>
                <w:rStyle w:val="VerbatimChar"/>
              </w:rPr>
              <w:t xml:space="preserve">min</w:t>
            </w:r>
            <w:r>
              <w:t xml:space="preserve">,</w:t>
            </w:r>
            <w:r>
              <w:t xml:space="preserve"> </w:t>
            </w:r>
            <w:r>
              <w:rPr>
                <w:rStyle w:val="VerbatimChar"/>
              </w:rPr>
              <w:t xml:space="preserve">gcd</w:t>
            </w:r>
            <w:r>
              <w:t xml:space="preserve"> </w:t>
            </w:r>
            <w:r>
              <w:t xml:space="preserve">— an</w:t>
            </w:r>
            <w:r>
              <w:t xml:space="preserve"> </w:t>
            </w:r>
            <w:r>
              <w:rPr>
                <w:bCs/>
                <w:b/>
              </w:rPr>
              <w:t xml:space="preserve">extension</w:t>
            </w:r>
            <w:r>
              <w:t xml:space="preserve">, not a completion</w:t>
            </w:r>
          </w:p>
        </w:tc>
        <w:tc>
          <w:tcPr/>
          <w:p>
            <w:pPr>
              <w:pStyle w:val="Compact"/>
              <w:jc w:val="left"/>
            </w:pPr>
            <w:r>
              <w:t xml:space="preserve">5 §13</w:t>
            </w:r>
          </w:p>
        </w:tc>
      </w:tr>
      <w:tr>
        <w:tc>
          <w:tcPr/>
          <w:p>
            <w:pPr>
              <w:pStyle w:val="Compact"/>
              <w:jc w:val="left"/>
            </w:pPr>
            <w:r>
              <w:rPr>
                <w:bCs/>
                <w:b/>
              </w:rPr>
              <w:t xml:space="preserve">The join between the digit layer and the carrier</w:t>
            </w:r>
          </w:p>
        </w:tc>
        <w:tc>
          <w:tcPr/>
          <w:p>
            <w:pPr>
              <w:pStyle w:val="Compact"/>
              <w:jc w:val="left"/>
            </w:pPr>
            <w:r>
              <w:t xml:space="preserve">6 §14</w:t>
            </w:r>
          </w:p>
        </w:tc>
      </w:tr>
    </w:tbl>
    <w:p>
      <w:pPr>
        <w:pStyle w:val="BodyText"/>
      </w:pPr>
      <w:r>
        <w:rPr>
          <w:bCs/>
          <w:b/>
        </w:rPr>
        <w:t xml:space="preserve">The last of these is the significant one.</w:t>
      </w:r>
      <w:r>
        <w:t xml:space="preserve"> </w:t>
      </w:r>
      <w:r>
        <w:t xml:space="preserve">Everything in Modules 4–6 concerns digits and positions and would run identically on any parallel arrangement whatever.</w:t>
      </w:r>
      <w:r>
        <w:t xml:space="preserve"> </w:t>
      </w:r>
      <w:r>
        <w:rPr>
          <w:bCs/>
          <w:b/>
        </w:rPr>
        <w:t xml:space="preserve">Nothing in the series so far touches the vertex topology the surrounding framework is built on.</w:t>
      </w:r>
    </w:p>
    <w:p>
      <w:r>
        <w:pict>
          <v:rect style="width:0;height:1.5pt" o:hralign="center" o:hrstd="t" o:hr="t"/>
        </w:pict>
      </w:r>
    </w:p>
    <w:bookmarkEnd w:id="34"/>
    <w:bookmarkStart w:id="35" w:name="where-the-series-goes-next"/>
    <w:p>
      <w:pPr>
        <w:pStyle w:val="Heading1"/>
      </w:pPr>
      <w:r>
        <w:t xml:space="preserve">7. Where the Series Goes Next</w:t>
      </w:r>
    </w:p>
    <w:p>
      <w:pPr>
        <w:pStyle w:val="FirstParagraph"/>
      </w:pPr>
      <w:r>
        <w:rPr>
          <w:bCs/>
          <w:b/>
        </w:rPr>
        <w:t xml:space="preserve">The next assumption to fall is the value domain.</w:t>
      </w:r>
      <w:r>
        <w:t xml:space="preserve"> </w:t>
      </w:r>
      <w:r>
        <w:t xml:space="preserve">Modules 1–6 removed the assumption that a number must be written in a particular base. They left standing a larger one:</w:t>
      </w:r>
      <w:r>
        <w:t xml:space="preserve"> </w:t>
      </w:r>
      <w:r>
        <w:rPr>
          <w:bCs/>
          <w:b/>
        </w:rPr>
        <w:t xml:space="preserve">that the values are ordinary integers at all.</w:t>
      </w:r>
    </w:p>
    <w:p>
      <w:pPr>
        <w:pStyle w:val="BodyText"/>
      </w:pPr>
      <w:r>
        <w:t xml:space="preserve">Two directions open, and they are different sizes.</w:t>
      </w:r>
    </w:p>
    <w:p>
      <w:pPr>
        <w:pStyle w:val="BodyText"/>
      </w:pPr>
      <w:r>
        <w:rPr>
          <w:bCs/>
          <w:b/>
        </w:rPr>
        <w:t xml:space="preserve">The golden ring.</w:t>
      </w:r>
      <w:r>
        <w:t xml:space="preserve"> </w:t>
      </w:r>
      <w:r>
        <w:t xml:space="preserve">Over the integers, the Comparative Split factors a value into a unit and a magnitude, and the unit group is just</w:t>
      </w:r>
      <w:r>
        <w:t xml:space="preserve"> </w:t>
      </w:r>
      <w:r>
        <w:rPr>
          <w:rStyle w:val="VerbatimChar"/>
        </w:rPr>
        <w:t xml:space="preserve">{+1, −1}</w:t>
      </w:r>
      <w:r>
        <w:t xml:space="preserve"> </w:t>
      </w:r>
      <w:r>
        <w:t xml:space="preserve">— which is exactly the</w:t>
      </w:r>
      <w:r>
        <w:t xml:space="preserve"> </w:t>
      </w:r>
      <w:r>
        <w:rPr>
          <w:rStyle w:val="VerbatimChar"/>
        </w:rPr>
        <w:t xml:space="preserve">±a</w:t>
      </w:r>
      <w:r>
        <w:t xml:space="preserve"> </w:t>
      </w:r>
      <w:r>
        <w:t xml:space="preserve">of Module 6’s digit set.</w:t>
      </w:r>
      <w:r>
        <w:t xml:space="preserve"> </w:t>
      </w:r>
      <w:r>
        <w:rPr>
          <w:bCs/>
          <w:b/>
        </w:rPr>
        <w:t xml:space="preserve">Over</w:t>
      </w:r>
      <w:r>
        <w:rPr>
          <w:bCs/>
          <w:b/>
        </w:rPr>
        <w:t xml:space="preserve"> </w:t>
      </w:r>
      <w:r>
        <w:rPr>
          <w:rStyle w:val="VerbatimChar"/>
          <w:bCs/>
          <w:b/>
        </w:rPr>
        <w:t xml:space="preserve">ℤ[φ]</w:t>
      </w:r>
      <w:r>
        <w:rPr>
          <w:bCs/>
          <w:b/>
        </w:rPr>
        <w:t xml:space="preserve"> </w:t>
      </w:r>
      <w:r>
        <w:rPr>
          <w:bCs/>
          <w:b/>
        </w:rPr>
        <w:t xml:space="preserve">the unit group is infinite</w:t>
      </w:r>
      <w:r>
        <w:t xml:space="preserve">, and the split survives for a reason that has to be earned. This is the smaller step and it is directly continuous with Module 6.</w:t>
      </w:r>
    </w:p>
    <w:p>
      <w:pPr>
        <w:pStyle w:val="BodyText"/>
      </w:pPr>
      <w:r>
        <w:rPr>
          <w:bCs/>
          <w:b/>
        </w:rPr>
        <w:t xml:space="preserve">The quaternion packing.</w:t>
      </w:r>
      <w:r>
        <w:t xml:space="preserve"> </w:t>
      </w:r>
      <w:r>
        <w:t xml:space="preserve">A quaternion holds four components; a lineage of a cubic holds four orders.</w:t>
      </w:r>
      <w:r>
        <w:t xml:space="preserve"> </w:t>
      </w:r>
      <w:r>
        <w:rPr>
          <w:bCs/>
          <w:b/>
        </w:rPr>
        <w:t xml:space="preserve">The registration</w:t>
      </w:r>
      <w:r>
        <w:rPr>
          <w:bCs/>
          <w:b/>
        </w:rPr>
        <w:t xml:space="preserve"> </w:t>
      </w:r>
      <w:r>
        <w:rPr>
          <w:rStyle w:val="VerbatimChar"/>
          <w:bCs/>
          <w:b/>
        </w:rPr>
        <w:t xml:space="preserve">q = (W, ΔW, Δ²W, Δ³W)</w:t>
      </w:r>
      <w:r>
        <w:rPr>
          <w:bCs/>
          <w:b/>
        </w:rPr>
        <w:t xml:space="preserve"> </w:t>
      </w:r>
      <w:r>
        <w:rPr>
          <w:bCs/>
          <w:b/>
        </w:rPr>
        <w:t xml:space="preserve">packs one into the other</w:t>
      </w:r>
      <w:r>
        <w:t xml:space="preserve">, and this is where String Mathematics meets the framework’s own carrier.</w:t>
      </w:r>
    </w:p>
    <w:p>
      <w:pPr>
        <w:pStyle w:val="BodyText"/>
      </w:pPr>
      <w:r>
        <w:rPr>
          <w:bCs/>
          <w:b/>
        </w:rPr>
        <w:t xml:space="preserve">A warning about that second direction, stated in advance.</w:t>
      </w:r>
      <w:r>
        <w:t xml:space="preserve"> </w:t>
      </w:r>
      <w:r>
        <w:t xml:space="preserve">The obvious question — whether the carrier’s own rotation can advance such a registration —</w:t>
      </w:r>
      <w:r>
        <w:t xml:space="preserve"> </w:t>
      </w:r>
      <w:r>
        <w:rPr>
          <w:bCs/>
          <w:b/>
        </w:rPr>
        <w:t xml:space="preserve">has a negative answer.</w:t>
      </w:r>
      <w:r>
        <w:t xml:space="preserve"> </w:t>
      </w:r>
      <w:r>
        <w:t xml:space="preserve">The lineage operator is unipotent and of infinite order; a rotation in the carrier is an isometry of finite order;</w:t>
      </w:r>
      <w:r>
        <w:t xml:space="preserve"> </w:t>
      </w:r>
      <w:r>
        <w:rPr>
          <w:bCs/>
          <w:b/>
        </w:rPr>
        <w:t xml:space="preserve">nilpotency and periodicity are different closure laws.</w:t>
      </w:r>
      <w:r>
        <w:t xml:space="preserve"> </w:t>
      </w:r>
      <w:r>
        <w:t xml:space="preserve">Any module on the packing will have that theorem at its centre, and it is a genuine result rather than a difficulty to be worked around.</w:t>
      </w:r>
    </w:p>
    <w:p>
      <w:r>
        <w:pict>
          <v:rect style="width:0;height:1.5pt" o:hralign="center" o:hrstd="t" o:hr="t"/>
        </w:pict>
      </w:r>
    </w:p>
    <w:bookmarkEnd w:id="35"/>
    <w:bookmarkStart w:id="36" w:name="on-method"/>
    <w:p>
      <w:pPr>
        <w:pStyle w:val="Heading1"/>
      </w:pPr>
      <w:r>
        <w:t xml:space="preserve">8. On Method</w:t>
      </w:r>
    </w:p>
    <w:p>
      <w:pPr>
        <w:pStyle w:val="FirstParagraph"/>
      </w:pPr>
      <w:r>
        <w:rPr>
          <w:bCs/>
          <w:b/>
        </w:rPr>
        <w:t xml:space="preserve">The series carries a discipline as well as a subject</w:t>
      </w:r>
      <w:r>
        <w:t xml:space="preserve">, and it is worth stating in one place because it is unusual in a mathematics text.</w:t>
      </w:r>
    </w:p>
    <w:p>
      <w:pPr>
        <w:numPr>
          <w:ilvl w:val="0"/>
          <w:numId w:val="1001"/>
        </w:numPr>
        <w:pStyle w:val="Compact"/>
      </w:pPr>
      <w:r>
        <w:rPr>
          <w:bCs/>
          <w:b/>
        </w:rPr>
        <w:t xml:space="preserve">A sample proves presence and never absence.</w:t>
      </w:r>
      <w:r>
        <w:t xml:space="preserve"> </w:t>
      </w:r>
      <w:r>
        <w:t xml:space="preserve">A check that finds nothing has established nothing about what it did not examine.</w:t>
      </w:r>
      <w:r>
        <w:t xml:space="preserve"> </w:t>
      </w:r>
      <w:r>
        <w:rPr>
          <w:iCs/>
          <w:i/>
        </w:rPr>
        <w:t xml:space="preserve">(1 §9.4)</w:t>
      </w:r>
    </w:p>
    <w:p>
      <w:pPr>
        <w:numPr>
          <w:ilvl w:val="0"/>
          <w:numId w:val="1001"/>
        </w:numPr>
        <w:pStyle w:val="Compact"/>
      </w:pPr>
      <w:r>
        <w:rPr>
          <w:bCs/>
          <w:b/>
        </w:rPr>
        <w:t xml:space="preserve">Verification must vary the question, not merely the method.</w:t>
      </w:r>
      <w:r>
        <w:t xml:space="preserve"> </w:t>
      </w:r>
      <w:r>
        <w:t xml:space="preserve">Two calculations sharing an unexamined assumption agree whether or not it is true.</w:t>
      </w:r>
      <w:r>
        <w:t xml:space="preserve"> </w:t>
      </w:r>
      <w:r>
        <w:rPr>
          <w:iCs/>
          <w:i/>
        </w:rPr>
        <w:t xml:space="preserve">(1 §9.7)</w:t>
      </w:r>
    </w:p>
    <w:p>
      <w:pPr>
        <w:numPr>
          <w:ilvl w:val="0"/>
          <w:numId w:val="1001"/>
        </w:numPr>
        <w:pStyle w:val="Compact"/>
      </w:pPr>
      <w:r>
        <w:rPr>
          <w:bCs/>
          <w:b/>
        </w:rPr>
        <w:t xml:space="preserve">State the region a check covered</w:t>
      </w:r>
      <w:r>
        <w:t xml:space="preserve">, or it cannot be told apart from one that covered everything.</w:t>
      </w:r>
      <w:r>
        <w:t xml:space="preserve"> </w:t>
      </w:r>
      <w:r>
        <w:rPr>
          <w:iCs/>
          <w:i/>
        </w:rPr>
        <w:t xml:space="preserve">(2 §8.4)</w:t>
      </w:r>
    </w:p>
    <w:p>
      <w:pPr>
        <w:numPr>
          <w:ilvl w:val="0"/>
          <w:numId w:val="1001"/>
        </w:numPr>
        <w:pStyle w:val="Compact"/>
      </w:pPr>
      <w:r>
        <w:rPr>
          <w:bCs/>
          <w:b/>
        </w:rPr>
        <w:t xml:space="preserve">Independent observations add weight; independent mechanisms explaining one observation add robustness only.</w:t>
      </w:r>
      <w:r>
        <w:t xml:space="preserve"> </w:t>
      </w:r>
      <w:r>
        <w:rPr>
          <w:iCs/>
          <w:i/>
        </w:rPr>
        <w:t xml:space="preserve">(3 §7.1)</w:t>
      </w:r>
    </w:p>
    <w:p>
      <w:pPr>
        <w:numPr>
          <w:ilvl w:val="0"/>
          <w:numId w:val="1001"/>
        </w:numPr>
        <w:pStyle w:val="Compact"/>
      </w:pPr>
      <w:r>
        <w:rPr>
          <w:bCs/>
          <w:b/>
        </w:rPr>
        <w:t xml:space="preserve">A result is only as good as its boundary</w:t>
      </w:r>
      <w:r>
        <w:t xml:space="preserve"> </w:t>
      </w:r>
      <w:r>
        <w:t xml:space="preserve">— say where it stops.</w:t>
      </w:r>
      <w:r>
        <w:t xml:space="preserve"> </w:t>
      </w:r>
      <w:r>
        <w:rPr>
          <w:iCs/>
          <w:i/>
        </w:rPr>
        <w:t xml:space="preserve">(4 §7.5)</w:t>
      </w:r>
    </w:p>
    <w:p>
      <w:pPr>
        <w:pStyle w:val="FirstParagraph"/>
      </w:pPr>
      <w:r>
        <w:rPr>
          <w:bCs/>
          <w:b/>
        </w:rPr>
        <w:t xml:space="preserve">These are not decoration.</w:t>
      </w:r>
      <w:r>
        <w:t xml:space="preserve"> </w:t>
      </w:r>
      <w:r>
        <w:t xml:space="preserve">Every one of them was earned by an error found in this series during its own writing, and several were found by readers who were not mathematicians. The revision histories record which.</w:t>
      </w:r>
    </w:p>
    <w:p>
      <w:r>
        <w:pict>
          <v:rect style="width:0;height:1.5pt" o:hralign="center" o:hrstd="t" o:hr="t"/>
        </w:pict>
      </w:r>
    </w:p>
    <w:p>
      <w:pPr>
        <w:pStyle w:val="FirstParagraph"/>
      </w:pPr>
      <w:r>
        <w:rPr>
          <w:iCs/>
          <w:i/>
        </w:rPr>
        <w:t xml:space="preserve">End of Series Summary.</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String Mathematics — Series Summary</dc:title>
  <dc:creator>Prime Framework — Syllabus-Learning Series</dc:creator>
  <cp:keywords/>
  <dcterms:created xsi:type="dcterms:W3CDTF">2026-08-06T06:58:35Z</dcterms:created>
  <dcterms:modified xsi:type="dcterms:W3CDTF">2026-08-06T06:58:35Z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Series Summary — covering Modules 1 through 6</vt:lpwstr>
  </property>
  <property fmtid="{D5CDD505-2E9C-101B-9397-08002B2CF9AE}" pid="3" name="subtitle">
    <vt:lpwstr>Modules 1 to 6: the arc, the results, the dependencies, and what remains open</vt:lpwstr>
  </property>
</Properties>
</file>