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0315805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No he cumplido todas las actividades en los tiempos definidos porque la fecha de la segunda entrega se aplazo una semana por lo cual como grupo nos hemos podido dar más tiempo para realizar  todo lo que conlleva la segunda entrega por lo cual esto nos ha facilitado el desarrollo de nuestro plan de trabajo. </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De momento no he enfrentado dificultades para realizar ninguna actividad del proyecto pero si creo que las dificultades las tendremos cuando empecemos a desarrollar la aplicación del inventario.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Yo creo que he trabajado de buena forma , paralelamente con mis compañeros ya que todos nos hemos dividido el proyecto de forma equitativa. Además pienso que para mejorar mi trabajo podría intentar realizar mis actividades planificadas antes de tiempo con el motivo de adelantar trabajo y no estar con los tiempos tan justos.</w:t>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No tengo ninguna inquietud ni duda por el momento.</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No creo que deban ser redistribuidas las actividades ya que cada uno de los integrantes están conformes y de acuerdo con lo que deben hacer.</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Creemos que trabajamos de buena manera, se distribuyeron las distintas tareas de buena manera, pero también este punto se podría mejorar, para que así las distintas tareas asignadas sean más equitativas.</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031580522"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03158052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595959"/>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031580525"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0315805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03158052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rFOntCEnGiHradS3bywkdhQxwA==">CgMxLjA4AHIhMTByVlBmeEVYT1lwT29JeDhiSXdmUE9IWW5IU284X1RJ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2025-10-07T02:22:00Z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