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560" w:line="240" w:lineRule="auto"/>
        <w:ind w:left="0" w:right="0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Informe Final del Proyecto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560" w:line="240" w:lineRule="auto"/>
        <w:ind w:left="0" w:right="0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left" w:leader="none" w:pos="2865"/>
        </w:tabs>
        <w:spacing w:after="200" w:before="1280" w:line="30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qdxxhy2edv0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5">
      <w:pPr>
        <w:ind w:firstLine="720"/>
        <w:rPr/>
        <w:sectPr>
          <w:headerReference r:id="rId11" w:type="default"/>
          <w:headerReference r:id="rId12" w:type="first"/>
          <w:footerReference r:id="rId13" w:type="default"/>
          <w:footerReference r:id="rId14" w:type="first"/>
          <w:pgSz w:h="15840" w:w="12240" w:orient="portrait"/>
          <w:pgMar w:bottom="1800" w:top="216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00" w:lineRule="auto"/>
        <w:ind w:firstLine="720"/>
        <w:rPr>
          <w:rFonts w:ascii="Arial Black" w:cs="Arial Black" w:eastAsia="Arial Black" w:hAnsi="Arial Black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sz w:val="32"/>
          <w:szCs w:val="32"/>
          <w:rtl w:val="0"/>
        </w:rPr>
        <w:t xml:space="preserve">Tabla de Contenidos</w:t>
      </w:r>
    </w:p>
    <w:sdt>
      <w:sdtPr>
        <w:id w:val="-2890539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eitg4i0e6y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evl941iawi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del Informe de Cierre de Proyecto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80how6uwz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Sección 1 – Información General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yb6mk8jsi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Tecnologías utilizadas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2htf9344np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Sección 2 – Lista de Verificación de Aceptación Final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009smxljt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Funcionalidades aceptadas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gdpowe8ng0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Sección 3 – Lista de Verificación de Artefactos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nq2224bzb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Sección 4 – Recursos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tz7eowrj43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Sección 5 – Lecciones Aprendidas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zminz15n4x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Sección 6 – Planes Post-Implantación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mcwuprsyp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Sección 7 – No Conformidades Abiertas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ind w:firstLine="720"/>
        <w:rPr>
          <w:b w:val="1"/>
          <w:bCs w:val="1"/>
          <w:i w:val="1"/>
          <w:iCs w:val="1"/>
        </w:rPr>
        <w:sectPr>
          <w:headerReference r:id="rId15" w:type="default"/>
          <w:headerReference r:id="rId16" w:type="first"/>
          <w:footerReference r:id="rId17" w:type="default"/>
          <w:footerReference r:id="rId18" w:type="first"/>
          <w:type w:val="nextPage"/>
          <w:pgSz w:h="15840" w:w="12240" w:orient="portrait"/>
          <w:pgMar w:bottom="1440" w:top="1440" w:left="1440" w:right="1440" w:header="547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pageBreakBefore w:val="0"/>
        <w:spacing w:after="120" w:before="480" w:line="300" w:lineRule="auto"/>
        <w:ind w:left="0" w:firstLine="0"/>
        <w:jc w:val="both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heading=h.1eitg4i0e6y6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Introducción</w:t>
      </w:r>
    </w:p>
    <w:p w:rsidR="00000000" w:rsidDel="00000000" w:rsidP="00000000" w:rsidRDefault="00000000" w:rsidRPr="00000000" w14:paraId="00000014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En muchos proyectos TI, el cierre formal suele ejecutarse de manera débil o incompleta, lo que impide registrar información valiosa para la mejora continua. En el caso del proyecto </w:t>
      </w:r>
      <w:r w:rsidDel="00000000" w:rsidR="00000000" w:rsidRPr="00000000">
        <w:rPr>
          <w:b w:val="1"/>
          <w:bCs w:val="1"/>
          <w:rtl w:val="0"/>
        </w:rPr>
        <w:t xml:space="preserve">LogisticFour</w:t>
      </w:r>
      <w:r w:rsidDel="00000000" w:rsidR="00000000" w:rsidRPr="00000000">
        <w:rPr>
          <w:rtl w:val="0"/>
        </w:rPr>
        <w:t xml:space="preserve">, se realizó un cierre estructurado cuyo propósito fue documentar el cumplimiento del alcance, consolidar los artefactos generados y dejar establecidas las directrices para la operación y futuras mejoras del sistema.</w:t>
      </w:r>
    </w:p>
    <w:p w:rsidR="00000000" w:rsidDel="00000000" w:rsidP="00000000" w:rsidRDefault="00000000" w:rsidRPr="00000000" w14:paraId="00000015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Este informe incluye: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Aceptación final del producto entregado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Registro y archivo de artefactos del proyecto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Liberación o reasignación de recursos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Lecciones aprendidas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Plan de actividades posteriores a la implantación</w:t>
      </w:r>
    </w:p>
    <w:p w:rsidR="00000000" w:rsidDel="00000000" w:rsidP="00000000" w:rsidRDefault="00000000" w:rsidRPr="00000000" w14:paraId="0000001B">
      <w:pPr>
        <w:pStyle w:val="Heading1"/>
        <w:keepNext w:val="0"/>
        <w:pageBreakBefore w:val="0"/>
        <w:spacing w:after="120" w:before="480" w:line="300" w:lineRule="auto"/>
        <w:ind w:left="0" w:firstLine="0"/>
        <w:jc w:val="both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heading=h.eevl941iawi1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Uso del Informe de Cierre de Proyecto</w:t>
      </w:r>
    </w:p>
    <w:p w:rsidR="00000000" w:rsidDel="00000000" w:rsidP="00000000" w:rsidRDefault="00000000" w:rsidRPr="00000000" w14:paraId="0000001C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Este documento certifica que el sistema desarrollado cumple con lo estipulado en el Acta de Constitución, el ERS y los criterios definidos en la EDT. Su uso asume que el cliente ha revisado previamente el sistema y ha autorizado su puesta en producción.</w:t>
      </w:r>
    </w:p>
    <w:p w:rsidR="00000000" w:rsidDel="00000000" w:rsidP="00000000" w:rsidRDefault="00000000" w:rsidRPr="00000000" w14:paraId="0000001D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El informe también considera la existencia de un proceso interno para gestionar no conformidades y dejar registro de cualquier funcionalidad pendiente o solicitud futura.</w:t>
      </w:r>
    </w:p>
    <w:p w:rsidR="00000000" w:rsidDel="00000000" w:rsidP="00000000" w:rsidRDefault="00000000" w:rsidRPr="00000000" w14:paraId="0000001E">
      <w:pPr>
        <w:pStyle w:val="Heading1"/>
        <w:keepNext w:val="0"/>
        <w:pageBreakBefore w:val="0"/>
        <w:spacing w:after="120" w:before="480" w:line="300" w:lineRule="auto"/>
        <w:ind w:left="0" w:firstLine="0"/>
        <w:jc w:val="both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heading=h.do80how6uwzf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Sección 1 – Información General</w:t>
      </w:r>
    </w:p>
    <w:p w:rsidR="00000000" w:rsidDel="00000000" w:rsidP="00000000" w:rsidRDefault="00000000" w:rsidRPr="00000000" w14:paraId="0000001F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LogisticFour</w:t>
      </w:r>
      <w:r w:rsidDel="00000000" w:rsidR="00000000" w:rsidRPr="00000000">
        <w:rPr>
          <w:rtl w:val="0"/>
        </w:rPr>
        <w:t xml:space="preserve"> contempla el desarrollo de un sistema integral de logística orientado a la gestión de inventarios, bodegas, sucursales y movimientos de stock dentro de una organización. Entre sus principales funciones se encuentran: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Gestión de productos, categorías, marcas y atributos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Administración de proveedores y relaciones comerciales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Registro y control de bodegas, áreas y ubicaciones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Gestión de movimientos de inventario (entradas, salidas, transferencias, ajustes)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Manejo de lotes, series y reservas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Disponibilidad de stock total y por sucursal/bodega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Generación de reportes, alertas internas y paneles informativos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Roles y permisos diferenciados por usuario (Administrador, Auditor, Bodeguero, Proveedor)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Acceso mediante aplicación web y aplicación de escritorio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ind w:left="1440" w:firstLine="0"/>
        <w:jc w:val="both"/>
        <w:rPr>
          <w:sz w:val="26"/>
          <w:szCs w:val="26"/>
        </w:rPr>
      </w:pPr>
      <w:bookmarkStart w:colFirst="0" w:colLast="0" w:name="_heading=h.oyb6mk8jsig" w:id="4"/>
      <w:bookmarkEnd w:id="4"/>
      <w:r w:rsidDel="00000000" w:rsidR="00000000" w:rsidRPr="00000000">
        <w:rPr>
          <w:sz w:val="26"/>
          <w:szCs w:val="26"/>
          <w:rtl w:val="0"/>
        </w:rPr>
        <w:t xml:space="preserve">Tecnologías utilizadas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Django (Python)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HTML, CSS, Bootstrap, JavaScript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SQLite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Aplicación de Escritorio:</w:t>
      </w:r>
      <w:r w:rsidDel="00000000" w:rsidR="00000000" w:rsidRPr="00000000">
        <w:rPr>
          <w:rtl w:val="0"/>
        </w:rPr>
        <w:t xml:space="preserve"> ElectronJS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Interfaz trabajada en HTML/CSS/JS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Conexión al backend Django vía API REST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Empaquetada como aplicación local de escritorio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Git y GitHub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Documentación Técnica:</w:t>
      </w:r>
      <w:r w:rsidDel="00000000" w:rsidR="00000000" w:rsidRPr="00000000">
        <w:rPr>
          <w:rtl w:val="0"/>
        </w:rPr>
        <w:t xml:space="preserve"> Word, Draw.io, PDF</w:t>
      </w:r>
    </w:p>
    <w:p w:rsidR="00000000" w:rsidDel="00000000" w:rsidP="00000000" w:rsidRDefault="00000000" w:rsidRPr="00000000" w14:paraId="00000033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SQLite permitió un desarrollo ágil sin necesidad de servidores externos, totalmente compatible con el ORM de Django,ElectronJS permitió empaquetar el sistema en una aplicación de escritorio reutilizando la lógica y vistas web existentes.</w:t>
      </w:r>
    </w:p>
    <w:p w:rsidR="00000000" w:rsidDel="00000000" w:rsidP="00000000" w:rsidRDefault="00000000" w:rsidRPr="00000000" w14:paraId="00000034">
      <w:pPr>
        <w:pStyle w:val="Heading1"/>
        <w:keepNext w:val="0"/>
        <w:pageBreakBefore w:val="0"/>
        <w:spacing w:after="120" w:before="480" w:line="300" w:lineRule="auto"/>
        <w:ind w:left="0" w:firstLine="0"/>
        <w:jc w:val="both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heading=h.82htf9344npm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Sección 2 – Lista de Verificación de Aceptación Final</w:t>
      </w:r>
    </w:p>
    <w:p w:rsidR="00000000" w:rsidDel="00000000" w:rsidP="00000000" w:rsidRDefault="00000000" w:rsidRPr="00000000" w14:paraId="00000035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El cliente/patrocinador certifica que los siguientes requerimientos principales fueron implementados y cumplen los criterios de aceptación establecidos: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ind w:left="0" w:firstLine="0"/>
        <w:jc w:val="both"/>
        <w:rPr>
          <w:sz w:val="26"/>
          <w:szCs w:val="26"/>
        </w:rPr>
      </w:pPr>
      <w:bookmarkStart w:colFirst="0" w:colLast="0" w:name="_heading=h.s009smxljt98" w:id="6"/>
      <w:bookmarkEnd w:id="6"/>
      <w:r w:rsidDel="00000000" w:rsidR="00000000" w:rsidRPr="00000000">
        <w:rPr>
          <w:sz w:val="26"/>
          <w:szCs w:val="26"/>
          <w:rtl w:val="0"/>
        </w:rPr>
        <w:t xml:space="preserve">Funcionalidades aceptadas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Gestión de productos, proveedores y sucursales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Administración de bodegas, áreas y ubicaciones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Registro de movimientos de stock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Control de lotes, series, reservas e inventarios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Acceso web con autenticación y roles definidos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Aplicación de escritorio funcional (ElectronJS)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Mockups implementados en la versión final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Reportes y paneles básicos de inventario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Consultas de stock por ubicación y sucursal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Verificación de movimientos y auditoría básica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Flujo de trabajo del inventario validado</w:t>
        <w:br w:type="textWrapping"/>
      </w:r>
    </w:p>
    <w:p w:rsidR="00000000" w:rsidDel="00000000" w:rsidP="00000000" w:rsidRDefault="00000000" w:rsidRPr="00000000" w14:paraId="00000042">
      <w:pPr>
        <w:pStyle w:val="Heading1"/>
        <w:keepNext w:val="0"/>
        <w:pageBreakBefore w:val="0"/>
        <w:spacing w:after="120" w:before="480" w:line="300" w:lineRule="auto"/>
        <w:ind w:left="0" w:firstLine="0"/>
        <w:jc w:val="both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heading=h.ogdpowe8ng05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Sección 3 – Lista de Verificación de Artefactos del Proyecto</w:t>
      </w:r>
    </w:p>
    <w:tbl>
      <w:tblPr>
        <w:tblStyle w:val="Table1"/>
        <w:tblW w:w="88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5"/>
        <w:gridCol w:w="3900"/>
        <w:tblGridChange w:id="0">
          <w:tblGrid>
            <w:gridCol w:w="4965"/>
            <w:gridCol w:w="3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144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144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Acta de Constitución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Carta Gantt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Diccionario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Casos de Uso Extendido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Mockups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E-R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Relacional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Matriz RACI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Matriz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Minutas de Reuniones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Verificación de Alcances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datos y scripts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Informe de Cierre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Avance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Parcialmente finalizado</w:t>
            </w:r>
          </w:p>
        </w:tc>
      </w:tr>
    </w:tbl>
    <w:p w:rsidR="00000000" w:rsidDel="00000000" w:rsidP="00000000" w:rsidRDefault="00000000" w:rsidRPr="00000000" w14:paraId="0000006D">
      <w:pPr>
        <w:ind w:left="14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pageBreakBefore w:val="0"/>
        <w:spacing w:after="120" w:before="480" w:line="300" w:lineRule="auto"/>
        <w:ind w:left="0" w:firstLine="0"/>
        <w:jc w:val="both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heading=h.23nq2224bzbe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Sección 4 – Recursos</w:t>
      </w:r>
    </w:p>
    <w:p w:rsidR="00000000" w:rsidDel="00000000" w:rsidP="00000000" w:rsidRDefault="00000000" w:rsidRPr="00000000" w14:paraId="0000006F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Luego de la implantación del sistema, se recomienda que el soporte técnico se realice mediante un acuerdo formal entre las partes, contemplando: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analista funcional</w:t>
      </w:r>
      <w:r w:rsidDel="00000000" w:rsidR="00000000" w:rsidRPr="00000000">
        <w:rPr>
          <w:rtl w:val="0"/>
        </w:rPr>
        <w:t xml:space="preserve">, encargado de la gestión operativa y documentación.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desarrollador</w:t>
      </w:r>
      <w:r w:rsidDel="00000000" w:rsidR="00000000" w:rsidRPr="00000000">
        <w:rPr>
          <w:rtl w:val="0"/>
        </w:rPr>
        <w:t xml:space="preserve">, responsable del mantenimiento correctivo y evolutivo.</w:t>
      </w:r>
    </w:p>
    <w:p w:rsidR="00000000" w:rsidDel="00000000" w:rsidP="00000000" w:rsidRDefault="00000000" w:rsidRPr="00000000" w14:paraId="00000072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Ambos roles aseguraron atención oportuna en caso de incidencias, bajo compromisos establecidos (SLA).</w:t>
      </w:r>
    </w:p>
    <w:p w:rsidR="00000000" w:rsidDel="00000000" w:rsidP="00000000" w:rsidRDefault="00000000" w:rsidRPr="00000000" w14:paraId="00000073">
      <w:pPr>
        <w:pStyle w:val="Heading1"/>
        <w:keepNext w:val="0"/>
        <w:pageBreakBefore w:val="0"/>
        <w:spacing w:after="120" w:before="480" w:line="300" w:lineRule="auto"/>
        <w:ind w:left="0" w:firstLine="0"/>
        <w:jc w:val="both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heading=h.3tz7eowrj43x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Sección 5 – Lecciones Aprendidas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Es necesario mejorar la planificación interna del equipo para evitar entregar tareas al límite del plazo.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La comunicación del equipo debe fortalecerse para que cada integrante cumpla sus responsabilidades sin afectar a los demás.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Se identificó la importancia de optimizar la base de datos SQLite para mejorar rendimiento y reducir tiempos de consulta.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La integración con ElectronJS permitió reutilizar lógica de negocio, demostrando ventajas de la arquitectura modular.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Se reforzaron conocimientos en Django, gestión de inventarios y arquitectura de sistemas.</w:t>
        <w:br w:type="textWrapping"/>
      </w:r>
    </w:p>
    <w:p w:rsidR="00000000" w:rsidDel="00000000" w:rsidP="00000000" w:rsidRDefault="00000000" w:rsidRPr="00000000" w14:paraId="00000079">
      <w:pPr>
        <w:pStyle w:val="Heading1"/>
        <w:keepNext w:val="0"/>
        <w:pageBreakBefore w:val="0"/>
        <w:spacing w:after="120" w:before="480" w:line="300" w:lineRule="auto"/>
        <w:ind w:left="0" w:firstLine="0"/>
        <w:jc w:val="both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heading=h.yzminz15n4xz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Sección 6 – Planes Post-Implantación</w:t>
      </w:r>
    </w:p>
    <w:p w:rsidR="00000000" w:rsidDel="00000000" w:rsidP="00000000" w:rsidRDefault="00000000" w:rsidRPr="00000000" w14:paraId="0000007A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Se establece una marcha blanca de </w:t>
      </w:r>
      <w:r w:rsidDel="00000000" w:rsidR="00000000" w:rsidRPr="00000000">
        <w:rPr>
          <w:b w:val="1"/>
          <w:bCs w:val="1"/>
          <w:rtl w:val="0"/>
        </w:rPr>
        <w:t xml:space="preserve">30 días</w:t>
      </w:r>
      <w:r w:rsidDel="00000000" w:rsidR="00000000" w:rsidRPr="00000000">
        <w:rPr>
          <w:rtl w:val="0"/>
        </w:rPr>
        <w:t xml:space="preserve">, donde se evaluará: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Sugerencias del cliente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Ajustes de rendimiento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Optimización de consultas SQLite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Estabilización de funcionalidades pendientes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Recepción de feedback para mejoras evolutivas</w:t>
      </w:r>
    </w:p>
    <w:p w:rsidR="00000000" w:rsidDel="00000000" w:rsidP="00000000" w:rsidRDefault="00000000" w:rsidRPr="00000000" w14:paraId="00000080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Luego de este periodo, el sistema se considera estable para operación normal.</w:t>
      </w:r>
    </w:p>
    <w:p w:rsidR="00000000" w:rsidDel="00000000" w:rsidP="00000000" w:rsidRDefault="00000000" w:rsidRPr="00000000" w14:paraId="00000081">
      <w:pPr>
        <w:pStyle w:val="Heading1"/>
        <w:keepNext w:val="0"/>
        <w:pageBreakBefore w:val="0"/>
        <w:spacing w:after="120" w:before="480" w:line="300" w:lineRule="auto"/>
        <w:ind w:left="0" w:firstLine="0"/>
        <w:jc w:val="both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heading=h.umcwuprsyp52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Sección 7 – Disconformidades Abiertas</w:t>
      </w:r>
    </w:p>
    <w:p w:rsidR="00000000" w:rsidDel="00000000" w:rsidP="00000000" w:rsidRDefault="00000000" w:rsidRPr="00000000" w14:paraId="00000082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A la fecha del cierre, se detectan las siguientes funcionalidades pendientes: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Módulo de reportes avanzados aún en desarrollo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Mejoras en la aplicación de escritorio (ElectronJS)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Optimización adicional de rendimiento en la base de datos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Integración de alertas avanzadas y reportes automáticos</w:t>
      </w:r>
    </w:p>
    <w:p w:rsidR="00000000" w:rsidDel="00000000" w:rsidP="00000000" w:rsidRDefault="00000000" w:rsidRPr="00000000" w14:paraId="00000087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Estas disconformidades quedan registradas para su resolución en la próxima fase del proyecto.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0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19" w:type="first"/>
      <w:type w:val="nextPage"/>
      <w:pgSz w:h="15840" w:w="12240" w:orient="portrait"/>
      <w:pgMar w:bottom="1440" w:top="1440" w:left="1440" w:right="1440" w:header="547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786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spacing w:after="40" w:before="40" w:lineRule="auto"/>
      <w:ind w:firstLine="720"/>
      <w:jc w:val="center"/>
      <w:rPr/>
    </w:pPr>
    <w:r w:rsidDel="00000000" w:rsidR="00000000" w:rsidRPr="00000000">
      <w:rPr/>
      <w:drawing>
        <wp:inline distB="0" distT="0" distL="0" distR="0">
          <wp:extent cx="1057275" cy="419100"/>
          <wp:effectExtent b="0" l="0" r="0" t="0"/>
          <wp:docPr descr="DIR_logo_grayscale no text" id="34" name="image3.png"/>
          <a:graphic>
            <a:graphicData uri="http://schemas.openxmlformats.org/drawingml/2006/picture">
              <pic:pic>
                <pic:nvPicPr>
                  <pic:cNvPr descr="DIR_logo_grayscale no text"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419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spacing w:after="40" w:before="40" w:lineRule="auto"/>
      <w:ind w:firstLine="720"/>
      <w:jc w:val="center"/>
      <w:rPr/>
    </w:pPr>
    <w:r w:rsidDel="00000000" w:rsidR="00000000" w:rsidRPr="00000000">
      <w:rPr>
        <w:rtl w:val="0"/>
      </w:rPr>
      <w:t xml:space="preserve">Texas Department of Information Resources</w:t>
    </w:r>
  </w:p>
  <w:p w:rsidR="00000000" w:rsidDel="00000000" w:rsidP="00000000" w:rsidRDefault="00000000" w:rsidRPr="00000000" w14:paraId="00000093">
    <w:pPr>
      <w:spacing w:after="40" w:before="40" w:lineRule="auto"/>
      <w:ind w:firstLine="720"/>
      <w:jc w:val="center"/>
      <w:rPr/>
    </w:pPr>
    <w:r w:rsidDel="00000000" w:rsidR="00000000" w:rsidRPr="00000000">
      <w:rPr>
        <w:rtl w:val="0"/>
      </w:rPr>
      <w:t xml:space="preserve">Austin, TX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Dirección: Av. Américo Vespucio 1501, Maipú, Cerrillos, Región Metropolitana</w:t>
    </w:r>
  </w:p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Based on </w:t>
      <w:br w:type="textWrapping"/>
      <w:t xml:space="preserve">DIR Document 1BC-T1-0</w:t>
      <w:tab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4995545</wp:posOffset>
          </wp:positionH>
          <wp:positionV relativeFrom="paragraph">
            <wp:posOffset>68580</wp:posOffset>
          </wp:positionV>
          <wp:extent cx="948055" cy="276860"/>
          <wp:effectExtent b="0" l="0" r="0" t="0"/>
          <wp:wrapNone/>
          <wp:docPr descr="1-BusJust" id="35" name="image4.png"/>
          <a:graphic>
            <a:graphicData uri="http://schemas.openxmlformats.org/drawingml/2006/picture">
              <pic:pic>
                <pic:nvPicPr>
                  <pic:cNvPr descr="1-BusJust" id="0" name="image4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8055" cy="2768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_x0000_i1025" style="width:156pt;height:34.5pt" type="#_x0000_t75">
          <v:imagedata r:href="rId2" r:id="rId1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9180"/>
      </w:tabs>
      <w:spacing w:after="0" w:before="0" w:line="240" w:lineRule="auto"/>
      <w:ind w:left="72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TEXAS DEPARTMENT OF INFORMATION RESOURCES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731203</wp:posOffset>
              </wp:positionH>
              <wp:positionV relativeFrom="paragraph">
                <wp:posOffset>251142</wp:posOffset>
              </wp:positionV>
              <wp:extent cx="3801745" cy="336550"/>
              <wp:effectExtent b="0" l="0" r="0" t="0"/>
              <wp:wrapTopAndBottom distB="0" distT="0"/>
              <wp:docPr id="3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49890" y="3616488"/>
                        <a:ext cx="379222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300"/>
                            <w:ind w:left="0" w:right="0" w:firstLine="-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b40000"/>
                              <w:sz w:val="20"/>
                              <w:vertAlign w:val="baseline"/>
                            </w:rPr>
                            <w:t xml:space="preserve"> FILENAME  \* MERGEFORMAT 10bc-t1-3.doc | DRAFT |  TIME \@ "M/d/yyyy h:mm am/pm" 5/16/2022 2:08 PM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731203</wp:posOffset>
              </wp:positionH>
              <wp:positionV relativeFrom="paragraph">
                <wp:posOffset>251142</wp:posOffset>
              </wp:positionV>
              <wp:extent cx="3801745" cy="336550"/>
              <wp:effectExtent b="0" l="0" r="0" t="0"/>
              <wp:wrapTopAndBottom distB="0" distT="0"/>
              <wp:docPr id="3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01745" cy="336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3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_x0000_i1026" style="width:156pt;height:34.5pt" type="#_x0000_t75">
          <v:imagedata r:href="rId4" r:id="rId3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Texas Project Delivery Framework</w:t>
      <w:tab/>
      <w:tab/>
      <w:t xml:space="preserve">BUSINESS CASE TEMPLATE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Texas Project Delivery Framework</w:t>
      <w:tab/>
      <w:tab/>
      <w:t xml:space="preserve">BUSINESS CASE TEMPLATE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after="200" w:line="300" w:lineRule="auto"/>
        <w:ind w:lef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tabs>
        <w:tab w:val="left" w:leader="none" w:pos="0"/>
        <w:tab w:val="left" w:leader="none" w:pos="1980"/>
      </w:tabs>
      <w:spacing w:line="400" w:lineRule="auto"/>
      <w:ind w:left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A92AF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A92AF4"/>
  </w:style>
  <w:style w:type="paragraph" w:styleId="Piedepgina">
    <w:name w:val="footer"/>
    <w:basedOn w:val="Normal"/>
    <w:link w:val="PiedepginaCar"/>
    <w:uiPriority w:val="99"/>
    <w:unhideWhenUsed w:val="1"/>
    <w:rsid w:val="00A92AF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92AF4"/>
  </w:style>
  <w:style w:type="character" w:styleId="Ttulo1Car" w:customStyle="1">
    <w:name w:val="Título 1 Car"/>
    <w:basedOn w:val="Fuentedeprrafopredeter"/>
    <w:link w:val="Ttulo1"/>
    <w:rsid w:val="00A92AF4"/>
    <w:rPr>
      <w:rFonts w:ascii="Arial Black" w:cs="Times New Roman" w:eastAsia="Times New Roman" w:hAnsi="Arial Black"/>
      <w:sz w:val="32"/>
      <w:szCs w:val="32"/>
      <w:lang w:val="en-US"/>
    </w:rPr>
  </w:style>
  <w:style w:type="paragraph" w:styleId="TDC1">
    <w:name w:val="toc 1"/>
    <w:basedOn w:val="Normal"/>
    <w:next w:val="Normal"/>
    <w:autoRedefine w:val="1"/>
    <w:uiPriority w:val="39"/>
    <w:qFormat w:val="1"/>
    <w:rsid w:val="00A92AF4"/>
    <w:pPr>
      <w:tabs>
        <w:tab w:val="left" w:pos="2160"/>
        <w:tab w:val="right" w:leader="dot" w:pos="8280"/>
      </w:tabs>
      <w:spacing w:after="100" w:before="100"/>
      <w:ind w:left="1080"/>
    </w:pPr>
  </w:style>
  <w:style w:type="character" w:styleId="Hipervnculo">
    <w:name w:val="Hyperlink"/>
    <w:basedOn w:val="Fuentedeprrafopredeter"/>
    <w:uiPriority w:val="99"/>
    <w:rsid w:val="00A92AF4"/>
    <w:rPr>
      <w:color w:val="b40000"/>
      <w:u w:val="none"/>
    </w:rPr>
  </w:style>
  <w:style w:type="paragraph" w:styleId="Z-agcycvr-name" w:customStyle="1">
    <w:name w:val="Z-agcycvr-name"/>
    <w:basedOn w:val="Normal"/>
    <w:rsid w:val="00A92AF4"/>
    <w:pPr>
      <w:tabs>
        <w:tab w:val="center" w:pos="4680"/>
        <w:tab w:val="right" w:pos="9360"/>
      </w:tabs>
      <w:spacing w:after="0" w:before="1440" w:line="240" w:lineRule="auto"/>
      <w:ind w:left="0"/>
      <w:jc w:val="center"/>
    </w:pPr>
    <w:rPr>
      <w:rFonts w:ascii="Arial Bold" w:cs="Arial" w:hAnsi="Arial Bold"/>
      <w:b w:val="1"/>
      <w:sz w:val="30"/>
      <w:szCs w:val="36"/>
    </w:rPr>
  </w:style>
  <w:style w:type="paragraph" w:styleId="Z-cvr-docinfo" w:customStyle="1">
    <w:name w:val="Z-cvr-docinfo"/>
    <w:basedOn w:val="Normal"/>
    <w:rsid w:val="00A92AF4"/>
    <w:pPr>
      <w:tabs>
        <w:tab w:val="center" w:pos="4680"/>
        <w:tab w:val="right" w:pos="9360"/>
      </w:tabs>
      <w:spacing w:after="100" w:afterAutospacing="1" w:before="1280" w:line="240" w:lineRule="auto"/>
      <w:ind w:left="0"/>
      <w:jc w:val="right"/>
    </w:pPr>
    <w:rPr>
      <w:rFonts w:ascii="Arial Narrow" w:cs="Arial" w:hAnsi="Arial Narrow"/>
      <w:bCs w:val="1"/>
      <w:sz w:val="28"/>
    </w:rPr>
  </w:style>
  <w:style w:type="paragraph" w:styleId="Z-cvr-Normal" w:customStyle="1">
    <w:name w:val="Z-cvr-Normal"/>
    <w:basedOn w:val="Normal"/>
    <w:rsid w:val="00A92AF4"/>
    <w:pPr>
      <w:tabs>
        <w:tab w:val="center" w:pos="4680"/>
        <w:tab w:val="right" w:pos="9360"/>
      </w:tabs>
      <w:ind w:left="0"/>
    </w:pPr>
    <w:rPr>
      <w:rFonts w:cs="Arial"/>
      <w:bCs w:val="1"/>
    </w:rPr>
  </w:style>
  <w:style w:type="paragraph" w:styleId="Z-cvr-Title" w:customStyle="1">
    <w:name w:val="Z-cvr-Title"/>
    <w:basedOn w:val="Normal"/>
    <w:rsid w:val="00A92AF4"/>
    <w:pPr>
      <w:tabs>
        <w:tab w:val="center" w:pos="4680"/>
        <w:tab w:val="right" w:pos="9360"/>
      </w:tabs>
      <w:spacing w:after="0" w:before="1560" w:line="240" w:lineRule="auto"/>
      <w:ind w:left="0"/>
      <w:jc w:val="right"/>
    </w:pPr>
    <w:rPr>
      <w:rFonts w:ascii="Arial Black" w:cs="Arial" w:hAnsi="Arial Black"/>
      <w:bCs w:val="1"/>
      <w:sz w:val="68"/>
    </w:rPr>
  </w:style>
  <w:style w:type="paragraph" w:styleId="Z-cvr-SubTitle" w:customStyle="1">
    <w:name w:val="Z-cvr-SubTitle"/>
    <w:basedOn w:val="Z-cvr-Title"/>
    <w:rsid w:val="00A92AF4"/>
    <w:pPr>
      <w:spacing w:before="120"/>
    </w:pPr>
    <w:rPr>
      <w:rFonts w:ascii="Arial" w:hAnsi="Arial"/>
      <w:color w:val="b40000"/>
      <w:sz w:val="56"/>
    </w:rPr>
  </w:style>
  <w:style w:type="paragraph" w:styleId="Z-agcycvr-Doctype" w:customStyle="1">
    <w:name w:val="Z-agcycvr-Doctype"/>
    <w:basedOn w:val="Normal"/>
    <w:rsid w:val="00A92AF4"/>
    <w:pPr>
      <w:keepNext w:val="1"/>
      <w:tabs>
        <w:tab w:val="center" w:pos="4680"/>
        <w:tab w:val="right" w:pos="9360"/>
      </w:tabs>
      <w:spacing w:after="240" w:line="400" w:lineRule="exact"/>
      <w:ind w:left="0"/>
      <w:jc w:val="center"/>
      <w:outlineLvl w:val="3"/>
    </w:pPr>
    <w:rPr>
      <w:rFonts w:ascii="Arial Black" w:cs="Arial" w:hAnsi="Arial Black"/>
      <w:bCs w:val="1"/>
      <w:sz w:val="36"/>
      <w:szCs w:val="36"/>
    </w:rPr>
  </w:style>
  <w:style w:type="paragraph" w:styleId="Z-agcycvr-tpdf" w:customStyle="1">
    <w:name w:val="Z-agcycvr-tpdf"/>
    <w:basedOn w:val="Z-agcycvr-name"/>
    <w:rsid w:val="00A92AF4"/>
    <w:pPr>
      <w:tabs>
        <w:tab w:val="left" w:pos="7985"/>
      </w:tabs>
      <w:spacing w:before="0"/>
    </w:pPr>
    <w:rPr>
      <w:rFonts w:ascii="Arial Narrow" w:hAnsi="Arial Narrow"/>
      <w:b w:val="0"/>
      <w:bCs w:val="1"/>
      <w:spacing w:val="20"/>
      <w:sz w:val="20"/>
    </w:rPr>
  </w:style>
  <w:style w:type="paragraph" w:styleId="Prrafodelista">
    <w:name w:val="List Paragraph"/>
    <w:basedOn w:val="Normal"/>
    <w:uiPriority w:val="34"/>
    <w:qFormat w:val="1"/>
    <w:rsid w:val="00BA7D76"/>
    <w:pPr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customXml" Target="../customXML/item1.xm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9" Type="http://schemas.openxmlformats.org/officeDocument/2006/relationships/styles" Target="styles.xml"/><Relationship Id="rId15" Type="http://schemas.openxmlformats.org/officeDocument/2006/relationships/header" Target="header3.xml"/><Relationship Id="rId14" Type="http://schemas.openxmlformats.org/officeDocument/2006/relationships/footer" Target="footer2.xml"/><Relationship Id="rId17" Type="http://schemas.openxmlformats.org/officeDocument/2006/relationships/footer" Target="footer3.xml"/><Relationship Id="rId16" Type="http://schemas.openxmlformats.org/officeDocument/2006/relationships/header" Target="header4.xml"/><Relationship Id="rId5" Type="http://schemas.openxmlformats.org/officeDocument/2006/relationships/theme" Target="theme/theme1.xml"/><Relationship Id="rId19" Type="http://schemas.openxmlformats.org/officeDocument/2006/relationships/header" Target="header5.xml"/><Relationship Id="rId6" Type="http://schemas.openxmlformats.org/officeDocument/2006/relationships/settings" Target="settings.xml"/><Relationship Id="rId18" Type="http://schemas.openxmlformats.org/officeDocument/2006/relationships/footer" Target="footer4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5" Type="http://schemas.openxmlformats.org/officeDocument/2006/relationships/font" Target="fonts/ArialBlack-regular.ttf"/></Relationships>
</file>

<file path=word/_rels/footer2.xml.rels><?xml version="1.0" encoding="UTF-8" standalone="yes"?><Relationships xmlns="http://schemas.openxmlformats.org/package/2006/relationships"><Relationship Id="rId5" Type="http://schemas.openxmlformats.org/officeDocument/2006/relationships/image" Target="media/image3.png"/></Relationships>
</file>

<file path=word/_rels/footer4.xml.rels><?xml version="1.0" encoding="UTF-8" standalone="yes"?><Relationships xmlns="http://schemas.openxmlformats.org/package/2006/relationships"><Relationship Id="rId5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http://www.duoc.cl/normasgraficas/normasgraficas/marca-duoc/logo-fondo-blanco/OR_Logotipo_DuocUC.jpg" TargetMode="External"/></Relationships>
</file>

<file path=word/_rels/header2.xml.rels><?xml version="1.0" encoding="UTF-8" standalone="yes"?><Relationships xmlns="http://schemas.openxmlformats.org/package/2006/relationships"><Relationship Id="rId5" Type="http://schemas.openxmlformats.org/officeDocument/2006/relationships/image" Target="media/image5.png"/></Relationships>
</file>

<file path=word/_rels/header3.xml.rels><?xml version="1.0" encoding="UTF-8" standalone="yes"?><Relationships xmlns="http://schemas.openxmlformats.org/package/2006/relationships"><Relationship Id="rId3" Type="http://schemas.openxmlformats.org/officeDocument/2006/relationships/image" Target="media/image1.jpg"/><Relationship Id="rId4" Type="http://schemas.openxmlformats.org/officeDocument/2006/relationships/image" Target="http://www.duoc.cl/normasgraficas/normasgraficas/marca-duoc/logo-fondo-blanco/OR_Logotipo_DuocUC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/9Bu6KgPO3aoo20Fm/jpkTQKBQ==">CgMxLjAyDmgucWR4eGh5MmVkdjBpMg5oLjFlaXRnNGkwZTZ5NjIOaC5lZXZsOTQxaWF3aTEyDmguZG84MGhvdzZ1d3pmMg1oLm95YjZtazhqc2lnMg5oLjgyaHRmOTM0NG5wbTIOaC5zMDA5c214bGp0OTgyDmgub2dkcG93ZThuZzA1Mg5oLjIzbnEyMjI0YnpiZTIOaC4zdHo3ZW93cmo0M3gyDmgueXptaW56MTVuNHh6Mg5oLnVtY3d1cHJzeXA1MjgAciExVEpIWlBOZWIwZEs2WWpuUHY5UmV5SWZxQ01PVTQwQ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2016-11-23T23:15:00Z</dcterms:created>
  <dc:creator>Mauricio Villagrán Mora</dc:creator>
</cp:coreProperties>
</file>