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A3B8C" w:val="clear"/>
            <w:tcMar>
              <w:top w:type="dxa" w:w="280"/>
              <w:left w:type="dxa" w:w="300"/>
              <w:bottom w:type="dxa" w:w="280"/>
              <w:right w:type="dxa" w:w="300"/>
            </w:tcMar>
          </w:tcPr>
          <w:p>
            <w:pPr>
              <w:jc w:val="center"/>
            </w:pPr>
            <w:r>
              <w:rPr>
                <w:rFonts w:ascii="Arial" w:cs="Arial" w:eastAsia="Arial" w:hAnsi="Arial"/>
                <w:b/>
                <w:bCs/>
                <w:color w:val="FFFFFF"/>
                <w:sz w:val="36"/>
                <w:szCs w:val="36"/>
              </w:rPr>
              <w:t xml:space="preserve">ARTÉMIS PRÉPA</w:t>
            </w:r>
          </w:p>
          <w:p>
            <w:pPr>
              <w:spacing w:before="40"/>
              <w:jc w:val="center"/>
            </w:pPr>
            <w:r>
              <w:rPr>
                <w:rFonts w:ascii="Arial" w:cs="Arial" w:eastAsia="Arial" w:hAnsi="Arial"/>
                <w:b/>
                <w:bCs/>
                <w:color w:val="FFFFFF"/>
                <w:sz w:val="26"/>
                <w:szCs w:val="26"/>
              </w:rPr>
              <w:t xml:space="preserve">PROCÉDURE DE POSITIONNEMENT À L'ENTRÉE</w:t>
            </w:r>
          </w:p>
          <w:p>
            <w:pPr>
              <w:spacing w:before="40"/>
              <w:jc w:val="center"/>
            </w:pPr>
            <w:r>
              <w:rPr>
                <w:rFonts w:ascii="Arial" w:cs="Arial" w:eastAsia="Arial" w:hAnsi="Arial"/>
                <w:i/>
                <w:iCs/>
                <w:color w:val="D4CCEE"/>
                <w:sz w:val="18"/>
                <w:szCs w:val="18"/>
              </w:rPr>
              <w:t xml:space="preserve">Indicateur 8 Qualiopi — SUPER INDICATEUR · Évaluation des acquis et adaptation pédagogique</w:t>
            </w:r>
          </w:p>
        </w:tc>
      </w:tr>
    </w:tbl>
    <w:p>
      <w:pPr>
        <w:spacing w:before="100" w:after="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before="80" w:after="80"/>
              <w:jc w:val="left"/>
            </w:pPr>
            <w:r>
              <w:rPr>
                <w:rFonts w:ascii="Arial" w:cs="Arial" w:eastAsia="Arial" w:hAnsi="Arial"/>
                <w:b/>
                <w:bCs/>
                <w:i w:val="false"/>
                <w:iCs w:val="false"/>
                <w:color w:val="555555"/>
                <w:sz w:val="19"/>
                <w:szCs w:val="19"/>
              </w:rPr>
              <w:t xml:space="preserve">Référence</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vAlign w:val="top"/>
          </w:tcPr>
          <w:p>
            <w:pPr>
              <w:spacing w:before="80" w:after="80"/>
              <w:jc w:val="left"/>
            </w:pPr>
            <w:r>
              <w:rPr>
                <w:rFonts w:ascii="Arial" w:cs="Arial" w:eastAsia="Arial" w:hAnsi="Arial"/>
                <w:b w:val="false"/>
                <w:bCs w:val="false"/>
                <w:i w:val="false"/>
                <w:iCs w:val="false"/>
                <w:color w:val="000000"/>
                <w:sz w:val="19"/>
                <w:szCs w:val="19"/>
              </w:rPr>
              <w:t xml:space="preserve">ART-PROC-POS-001</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before="80" w:after="80"/>
              <w:jc w:val="left"/>
            </w:pPr>
            <w:r>
              <w:rPr>
                <w:rFonts w:ascii="Arial" w:cs="Arial" w:eastAsia="Arial" w:hAnsi="Arial"/>
                <w:b/>
                <w:bCs/>
                <w:i w:val="false"/>
                <w:iCs w:val="false"/>
                <w:color w:val="555555"/>
                <w:sz w:val="19"/>
                <w:szCs w:val="19"/>
              </w:rPr>
              <w:t xml:space="preserve">Version</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vAlign w:val="top"/>
          </w:tcPr>
          <w:p>
            <w:pPr>
              <w:spacing w:before="80" w:after="80"/>
              <w:jc w:val="left"/>
            </w:pPr>
            <w:r>
              <w:rPr>
                <w:rFonts w:ascii="Arial" w:cs="Arial" w:eastAsia="Arial" w:hAnsi="Arial"/>
                <w:b w:val="false"/>
                <w:bCs w:val="false"/>
                <w:i w:val="false"/>
                <w:iCs w:val="false"/>
                <w:color w:val="000000"/>
                <w:sz w:val="19"/>
                <w:szCs w:val="19"/>
              </w:rPr>
              <w:t xml:space="preserve">v1.0</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before="80" w:after="80"/>
              <w:jc w:val="left"/>
            </w:pPr>
            <w:r>
              <w:rPr>
                <w:rFonts w:ascii="Arial" w:cs="Arial" w:eastAsia="Arial" w:hAnsi="Arial"/>
                <w:b/>
                <w:bCs/>
                <w:i w:val="false"/>
                <w:iCs w:val="false"/>
                <w:color w:val="555555"/>
                <w:sz w:val="19"/>
                <w:szCs w:val="19"/>
              </w:rPr>
              <w:t xml:space="preserve">Mise à jour</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vAlign w:val="top"/>
          </w:tcPr>
          <w:p>
            <w:pPr>
              <w:spacing w:before="80" w:after="80"/>
              <w:jc w:val="left"/>
            </w:pPr>
            <w:r>
              <w:rPr>
                <w:rFonts w:ascii="Arial" w:cs="Arial" w:eastAsia="Arial" w:hAnsi="Arial"/>
                <w:b w:val="false"/>
                <w:bCs w:val="false"/>
                <w:i w:val="false"/>
                <w:iCs w:val="false"/>
                <w:color w:val="000000"/>
                <w:sz w:val="19"/>
                <w:szCs w:val="19"/>
              </w:rPr>
              <w:t xml:space="preserve">[JJ/MM/AAAA]</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before="80" w:after="80"/>
              <w:jc w:val="left"/>
            </w:pPr>
            <w:r>
              <w:rPr>
                <w:rFonts w:ascii="Arial" w:cs="Arial" w:eastAsia="Arial" w:hAnsi="Arial"/>
                <w:b/>
                <w:bCs/>
                <w:i w:val="false"/>
                <w:iCs w:val="false"/>
                <w:color w:val="555555"/>
                <w:sz w:val="19"/>
                <w:szCs w:val="19"/>
              </w:rPr>
              <w:t xml:space="preserve">Responsable</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vAlign w:val="top"/>
          </w:tcPr>
          <w:p>
            <w:pPr>
              <w:spacing w:before="80" w:after="80"/>
              <w:jc w:val="left"/>
            </w:pPr>
            <w:r>
              <w:rPr>
                <w:rFonts w:ascii="Arial" w:cs="Arial" w:eastAsia="Arial" w:hAnsi="Arial"/>
                <w:b w:val="false"/>
                <w:bCs w:val="false"/>
                <w:i w:val="false"/>
                <w:iCs w:val="false"/>
                <w:color w:val="000000"/>
                <w:sz w:val="19"/>
                <w:szCs w:val="19"/>
              </w:rPr>
              <w:t xml:space="preserve">Camille Chapuis — Artémis Prépa</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before="80" w:after="80"/>
              <w:jc w:val="left"/>
            </w:pPr>
            <w:r>
              <w:rPr>
                <w:rFonts w:ascii="Arial" w:cs="Arial" w:eastAsia="Arial" w:hAnsi="Arial"/>
                <w:b/>
                <w:bCs/>
                <w:i w:val="false"/>
                <w:iCs w:val="false"/>
                <w:color w:val="555555"/>
                <w:sz w:val="19"/>
                <w:szCs w:val="19"/>
              </w:rPr>
              <w:t xml:space="preserve">Documents associés</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vAlign w:val="top"/>
          </w:tcPr>
          <w:p>
            <w:pPr>
              <w:spacing w:before="80" w:after="80"/>
              <w:jc w:val="left"/>
            </w:pPr>
            <w:r>
              <w:rPr>
                <w:rFonts w:ascii="Arial" w:cs="Arial" w:eastAsia="Arial" w:hAnsi="Arial"/>
                <w:b w:val="false"/>
                <w:bCs w:val="false"/>
                <w:i w:val="false"/>
                <w:iCs w:val="false"/>
                <w:color w:val="000000"/>
                <w:sz w:val="19"/>
                <w:szCs w:val="19"/>
              </w:rPr>
              <w:t xml:space="preserve">ART-POS-001 (test) · ART-RB-001 (recueil besoins) · ART-EP-001 (CR entretien)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3B8C" w:sz="6"/>
              <w:left w:val="single" w:color="CCCCCC" w:sz="1"/>
              <w:bottom w:val="single" w:color="CCCCCC" w:sz="1"/>
              <w:right w:val="single" w:color="CCCCCC" w:sz="1"/>
            </w:tcBorders>
            <w:shd w:fill="EAE7F5" w:val="clear"/>
            <w:tcMar>
              <w:top w:type="dxa" w:w="120"/>
              <w:left w:type="dxa" w:w="200"/>
              <w:bottom w:type="dxa" w:w="120"/>
              <w:right w:type="dxa" w:w="200"/>
            </w:tcMar>
          </w:tcPr>
          <w:p>
            <w:pPr>
              <w:spacing w:before="80" w:after="80"/>
              <w:jc w:val="left"/>
            </w:pPr>
            <w:r>
              <w:rPr>
                <w:rFonts w:ascii="Arial" w:cs="Arial" w:eastAsia="Arial" w:hAnsi="Arial"/>
                <w:b w:val="false"/>
                <w:bCs w:val="false"/>
                <w:i/>
                <w:iCs/>
                <w:color w:val="555555"/>
                <w:sz w:val="19"/>
                <w:szCs w:val="19"/>
              </w:rPr>
              <w:t xml:space="preserve">L'indicateur 8 est un SUPER INDICATEUR : il ne peut pas faire l'objet d'une non-conformité mineure. Le prestataire doit démontrer qu'il détermine les procédures de positionnement et d'évaluation des acquis à l'entrée ET qu'il exploite les résultats pour adapter la formation. Les deux volets sont obligatoires.</w:t>
            </w:r>
          </w:p>
        </w:tc>
      </w:tr>
    </w:tbl>
    <w:p>
      <w:pPr>
        <w:spacing w:before="100" w:after="0"/>
        <w:jc w:val="left"/>
      </w:pPr>
      <w:r>
        <w:rPr>
          <w:rFonts w:ascii="Arial" w:cs="Arial" w:eastAsia="Arial" w:hAnsi="Arial"/>
          <w:b w:val="false"/>
          <w:bCs w:val="false"/>
          <w:i w:val="false"/>
          <w:iCs w:val="false"/>
          <w:color w:val="000000"/>
          <w:sz w:val="20"/>
          <w:szCs w:val="20"/>
        </w:rPr>
        <w:t xml:space="preserve"/>
      </w:r>
    </w:p>
    <w:p>
      <w:pPr>
        <w:pBdr>
          <w:bottom w:val="single" w:color="4A3B8C" w:sz="4"/>
        </w:pBdr>
        <w:spacing w:before="260" w:after="100"/>
      </w:pPr>
      <w:r>
        <w:rPr>
          <w:rFonts w:ascii="Arial" w:cs="Arial" w:eastAsia="Arial" w:hAnsi="Arial"/>
          <w:b/>
          <w:bCs/>
          <w:color w:val="4A3B8C"/>
          <w:sz w:val="24"/>
          <w:szCs w:val="24"/>
        </w:rPr>
        <w:t xml:space="preserve">1. Objet de la procédure</w:t>
      </w:r>
    </w:p>
    <w:p>
      <w:pPr>
        <w:spacing w:before="80" w:after="80"/>
        <w:jc w:val="left"/>
      </w:pPr>
      <w:r>
        <w:rPr>
          <w:rFonts w:ascii="Arial" w:cs="Arial" w:eastAsia="Arial" w:hAnsi="Arial"/>
          <w:b w:val="false"/>
          <w:bCs w:val="false"/>
          <w:i w:val="false"/>
          <w:iCs w:val="false"/>
          <w:color w:val="000000"/>
          <w:sz w:val="20"/>
          <w:szCs w:val="20"/>
        </w:rPr>
        <w:t xml:space="preserve">La présente procédure décrit la démarche de positionnement à l'entrée en formation mise en œuvre par Artémis Prépa pour chaque stagiaire. Elle formalise : (1) les outils de positionnement utilisés, (2) leur mode d'administration, (3) la grille de lecture des résultats, et (4) les décisions d'adaptation pédagogique qui en découlent.</w:t>
      </w:r>
    </w:p>
    <w:p>
      <w:pPr>
        <w:pBdr>
          <w:bottom w:val="single" w:color="4A3B8C" w:sz="4"/>
        </w:pBdr>
        <w:spacing w:before="260" w:after="100"/>
      </w:pPr>
      <w:r>
        <w:rPr>
          <w:rFonts w:ascii="Arial" w:cs="Arial" w:eastAsia="Arial" w:hAnsi="Arial"/>
          <w:b/>
          <w:bCs/>
          <w:color w:val="4A3B8C"/>
          <w:sz w:val="24"/>
          <w:szCs w:val="24"/>
        </w:rPr>
        <w:t xml:space="preserve">2. Outils de positionnement utilisés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360"/>
        <w:gridCol w:w="2200"/>
      </w:tblGrid>
      <w:tr>
        <w:tc>
          <w:tcPr>
            <w:tcBorders>
              <w:top w:val="single" w:color="CCCCCC" w:sz="1"/>
              <w:left w:val="single" w:color="CCCCCC" w:sz="1"/>
              <w:bottom w:val="single" w:color="CCCCCC" w:sz="1"/>
              <w:right w:val="single" w:color="CCCCCC" w:sz="1"/>
            </w:tcBorders>
            <w:shd w:fill="4A3B8C" w:val="clear"/>
            <w:tcMar>
              <w:top w:type="dxa" w:w="80"/>
              <w:left w:type="dxa" w:w="120"/>
              <w:bottom w:type="dxa" w:w="80"/>
              <w:right w:type="dxa" w:w="120"/>
            </w:tcMar>
          </w:tcPr>
          <w:p>
            <w:pPr>
              <w:spacing w:before="80" w:after="80"/>
              <w:jc w:val="left"/>
            </w:pPr>
            <w:r>
              <w:rPr>
                <w:rFonts w:ascii="Arial" w:cs="Arial" w:eastAsia="Arial" w:hAnsi="Arial"/>
                <w:b/>
                <w:bCs/>
                <w:i w:val="false"/>
                <w:iCs w:val="false"/>
                <w:color w:val="FFFFFF"/>
                <w:sz w:val="18"/>
                <w:szCs w:val="18"/>
              </w:rPr>
              <w:t xml:space="preserve">Outil</w:t>
            </w:r>
          </w:p>
        </w:tc>
        <w:tc>
          <w:tcPr>
            <w:tcBorders>
              <w:top w:val="single" w:color="CCCCCC" w:sz="1"/>
              <w:left w:val="single" w:color="CCCCCC" w:sz="1"/>
              <w:bottom w:val="single" w:color="CCCCCC" w:sz="1"/>
              <w:right w:val="single" w:color="CCCCCC" w:sz="1"/>
            </w:tcBorders>
            <w:shd w:fill="4A3B8C" w:val="clear"/>
            <w:tcMar>
              <w:top w:type="dxa" w:w="80"/>
              <w:left w:type="dxa" w:w="120"/>
              <w:bottom w:type="dxa" w:w="80"/>
              <w:right w:type="dxa" w:w="120"/>
            </w:tcMar>
          </w:tcPr>
          <w:p>
            <w:pPr>
              <w:spacing w:before="80" w:after="80"/>
              <w:jc w:val="left"/>
            </w:pPr>
            <w:r>
              <w:rPr>
                <w:rFonts w:ascii="Arial" w:cs="Arial" w:eastAsia="Arial" w:hAnsi="Arial"/>
                <w:b/>
                <w:bCs/>
                <w:i w:val="false"/>
                <w:iCs w:val="false"/>
                <w:color w:val="FFFFFF"/>
                <w:sz w:val="18"/>
                <w:szCs w:val="18"/>
              </w:rPr>
              <w:t xml:space="preserve">Description</w:t>
            </w:r>
          </w:p>
        </w:tc>
        <w:tc>
          <w:tcPr>
            <w:tcBorders>
              <w:top w:val="single" w:color="CCCCCC" w:sz="1"/>
              <w:left w:val="single" w:color="CCCCCC" w:sz="1"/>
              <w:bottom w:val="single" w:color="CCCCCC" w:sz="1"/>
              <w:right w:val="single" w:color="CCCCCC" w:sz="1"/>
            </w:tcBorders>
            <w:shd w:fill="4A3B8C" w:val="clear"/>
            <w:tcMar>
              <w:top w:type="dxa" w:w="80"/>
              <w:left w:type="dxa" w:w="120"/>
              <w:bottom w:type="dxa" w:w="80"/>
              <w:right w:type="dxa" w:w="120"/>
            </w:tcMar>
          </w:tcPr>
          <w:p>
            <w:pPr>
              <w:spacing w:before="80" w:after="80"/>
              <w:jc w:val="left"/>
            </w:pPr>
            <w:r>
              <w:rPr>
                <w:rFonts w:ascii="Arial" w:cs="Arial" w:eastAsia="Arial" w:hAnsi="Arial"/>
                <w:b/>
                <w:bCs/>
                <w:i w:val="false"/>
                <w:iCs w:val="false"/>
                <w:color w:val="FFFFFF"/>
                <w:sz w:val="18"/>
                <w:szCs w:val="18"/>
              </w:rPr>
              <w:t xml:space="preserve">Moment</w:t>
            </w:r>
          </w:p>
        </w:tc>
        <w:tc>
          <w:tcPr>
            <w:tcBorders>
              <w:top w:val="single" w:color="CCCCCC" w:sz="1"/>
              <w:left w:val="single" w:color="CCCCCC" w:sz="1"/>
              <w:bottom w:val="single" w:color="CCCCCC" w:sz="1"/>
              <w:right w:val="single" w:color="CCCCCC" w:sz="1"/>
            </w:tcBorders>
            <w:shd w:fill="4A3B8C" w:val="clear"/>
            <w:tcMar>
              <w:top w:type="dxa" w:w="80"/>
              <w:left w:type="dxa" w:w="120"/>
              <w:bottom w:type="dxa" w:w="80"/>
              <w:right w:type="dxa" w:w="120"/>
            </w:tcMar>
          </w:tcPr>
          <w:p>
            <w:pPr>
              <w:spacing w:before="80" w:after="80"/>
              <w:jc w:val="left"/>
            </w:pPr>
            <w:r>
              <w:rPr>
                <w:rFonts w:ascii="Arial" w:cs="Arial" w:eastAsia="Arial" w:hAnsi="Arial"/>
                <w:b/>
                <w:bCs/>
                <w:i w:val="false"/>
                <w:iCs w:val="false"/>
                <w:color w:val="FFFFFF"/>
                <w:sz w:val="18"/>
                <w:szCs w:val="18"/>
              </w:rPr>
              <w:t xml:space="preserve">Référence</w:t>
            </w:r>
          </w:p>
        </w:tc>
      </w:tr>
      <w:tr>
        <w:tc>
          <w:tcPr>
            <w:tcBorders>
              <w:top w:val="single" w:color="CCCCCC" w:sz="1"/>
              <w:left w:val="single" w:color="CCCCCC" w:sz="1"/>
              <w:bottom w:val="single" w:color="CCCCCC" w:sz="1"/>
              <w:right w:val="single" w:color="CCCCCC" w:sz="1"/>
            </w:tcBorders>
            <w:shd w:fill="EAE7F5" w:val="clear"/>
            <w:tcMar>
              <w:top w:type="dxa" w:w="80"/>
              <w:left w:type="dxa" w:w="120"/>
              <w:bottom w:type="dxa" w:w="80"/>
              <w:right w:type="dxa" w:w="120"/>
            </w:tcMar>
          </w:tcPr>
          <w:p>
            <w:pPr>
              <w:spacing w:before="80" w:after="80"/>
              <w:jc w:val="left"/>
            </w:pPr>
            <w:r>
              <w:rPr>
                <w:rFonts w:ascii="Arial" w:cs="Arial" w:eastAsia="Arial" w:hAnsi="Arial"/>
                <w:b/>
                <w:bCs/>
                <w:i w:val="false"/>
                <w:iCs w:val="false"/>
                <w:color w:val="4A3B8C"/>
                <w:sz w:val="17"/>
                <w:szCs w:val="17"/>
              </w:rPr>
              <w:t xml:space="preserve">Fiche recueil des besoins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80" w:after="80"/>
              <w:jc w:val="left"/>
            </w:pPr>
            <w:r>
              <w:rPr>
                <w:rFonts w:ascii="Arial" w:cs="Arial" w:eastAsia="Arial" w:hAnsi="Arial"/>
                <w:b w:val="false"/>
                <w:bCs w:val="false"/>
                <w:i w:val="false"/>
                <w:iCs w:val="false"/>
                <w:color w:val="000000"/>
                <w:sz w:val="17"/>
                <w:szCs w:val="17"/>
              </w:rPr>
              <w:t xml:space="preserve">Recueil des objectifs, contraintes, projet professionnel, acquis déclarés par le stagiaire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80" w:after="80"/>
              <w:jc w:val="left"/>
            </w:pPr>
            <w:r>
              <w:rPr>
                <w:rFonts w:ascii="Arial" w:cs="Arial" w:eastAsia="Arial" w:hAnsi="Arial"/>
                <w:b w:val="false"/>
                <w:bCs w:val="false"/>
                <w:i/>
                <w:iCs/>
                <w:color w:val="000000"/>
                <w:sz w:val="17"/>
                <w:szCs w:val="17"/>
              </w:rPr>
              <w:t xml:space="preserve">Avant inscription — lors de l'entretien préalable</w:t>
            </w:r>
          </w:p>
        </w:tc>
        <w:tc>
          <w:tcPr>
            <w:tcBorders>
              <w:top w:val="single" w:color="CCCCCC" w:sz="1"/>
              <w:left w:val="single" w:color="CCCCCC" w:sz="1"/>
              <w:bottom w:val="single" w:color="CCCCCC" w:sz="1"/>
              <w:right w:val="single" w:color="CCCCCC" w:sz="1"/>
            </w:tcBorders>
            <w:shd w:fill="EAE7F5" w:val="clear"/>
            <w:tcMar>
              <w:top w:type="dxa" w:w="80"/>
              <w:left w:type="dxa" w:w="120"/>
              <w:bottom w:type="dxa" w:w="80"/>
              <w:right w:type="dxa" w:w="120"/>
            </w:tcMar>
          </w:tcPr>
          <w:p>
            <w:pPr>
              <w:spacing w:before="80" w:after="80"/>
              <w:jc w:val="left"/>
            </w:pPr>
            <w:r>
              <w:rPr>
                <w:rFonts w:ascii="Arial" w:cs="Arial" w:eastAsia="Arial" w:hAnsi="Arial"/>
                <w:b/>
                <w:bCs/>
                <w:i w:val="false"/>
                <w:iCs w:val="false"/>
                <w:color w:val="4A3B8C"/>
                <w:sz w:val="17"/>
                <w:szCs w:val="17"/>
              </w:rPr>
              <w:t xml:space="preserve">ART-RB-001</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b/>
                <w:bCs/>
                <w:i w:val="false"/>
                <w:iCs w:val="false"/>
                <w:color w:val="4A3B8C"/>
                <w:sz w:val="17"/>
                <w:szCs w:val="17"/>
              </w:rPr>
              <w:t xml:space="preserve">Test de positionnement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b w:val="false"/>
                <w:bCs w:val="false"/>
                <w:i w:val="false"/>
                <w:iCs w:val="false"/>
                <w:color w:val="000000"/>
                <w:sz w:val="17"/>
                <w:szCs w:val="17"/>
              </w:rPr>
              <w:t xml:space="preserve">Évaluation écrite de 45 min — 12 questions — droit constitutionnel, droit administratif, culture générale, note de synthèse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b w:val="false"/>
                <w:bCs w:val="false"/>
                <w:i/>
                <w:iCs/>
                <w:color w:val="000000"/>
                <w:sz w:val="17"/>
                <w:szCs w:val="17"/>
              </w:rPr>
              <w:t xml:space="preserve">Avant ou lors du 1er contact — avant signature convention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b/>
                <w:bCs/>
                <w:i w:val="false"/>
                <w:iCs w:val="false"/>
                <w:color w:val="4A3B8C"/>
                <w:sz w:val="17"/>
                <w:szCs w:val="17"/>
              </w:rPr>
              <w:t xml:space="preserve">ART-POS-001</w:t>
            </w:r>
          </w:p>
        </w:tc>
      </w:tr>
      <w:tr>
        <w:tc>
          <w:tcPr>
            <w:tcBorders>
              <w:top w:val="single" w:color="CCCCCC" w:sz="1"/>
              <w:left w:val="single" w:color="CCCCCC" w:sz="1"/>
              <w:bottom w:val="single" w:color="CCCCCC" w:sz="1"/>
              <w:right w:val="single" w:color="CCCCCC" w:sz="1"/>
            </w:tcBorders>
            <w:shd w:fill="EAE7F5" w:val="clear"/>
            <w:tcMar>
              <w:top w:type="dxa" w:w="80"/>
              <w:left w:type="dxa" w:w="120"/>
              <w:bottom w:type="dxa" w:w="80"/>
              <w:right w:type="dxa" w:w="120"/>
            </w:tcMar>
          </w:tcPr>
          <w:p>
            <w:pPr>
              <w:spacing w:before="80" w:after="80"/>
              <w:jc w:val="left"/>
            </w:pPr>
            <w:r>
              <w:rPr>
                <w:rFonts w:ascii="Arial" w:cs="Arial" w:eastAsia="Arial" w:hAnsi="Arial"/>
                <w:b/>
                <w:bCs/>
                <w:i w:val="false"/>
                <w:iCs w:val="false"/>
                <w:color w:val="4A3B8C"/>
                <w:sz w:val="17"/>
                <w:szCs w:val="17"/>
              </w:rPr>
              <w:t xml:space="preserve">CR entretien préalable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80" w:after="80"/>
              <w:jc w:val="left"/>
            </w:pPr>
            <w:r>
              <w:rPr>
                <w:rFonts w:ascii="Arial" w:cs="Arial" w:eastAsia="Arial" w:hAnsi="Arial"/>
                <w:b w:val="false"/>
                <w:bCs w:val="false"/>
                <w:i w:val="false"/>
                <w:iCs w:val="false"/>
                <w:color w:val="000000"/>
                <w:sz w:val="17"/>
                <w:szCs w:val="17"/>
              </w:rPr>
              <w:t xml:space="preserve">Synthèse de l'analyse du besoin et de la décision d'orientation — formalise les adaptations prévues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80" w:after="80"/>
              <w:jc w:val="left"/>
            </w:pPr>
            <w:r>
              <w:rPr>
                <w:rFonts w:ascii="Arial" w:cs="Arial" w:eastAsia="Arial" w:hAnsi="Arial"/>
                <w:b w:val="false"/>
                <w:bCs w:val="false"/>
                <w:i/>
                <w:iCs/>
                <w:color w:val="000000"/>
                <w:sz w:val="17"/>
                <w:szCs w:val="17"/>
              </w:rPr>
              <w:t xml:space="preserve">Immédiatement après test et entretien</w:t>
            </w:r>
          </w:p>
        </w:tc>
        <w:tc>
          <w:tcPr>
            <w:tcBorders>
              <w:top w:val="single" w:color="CCCCCC" w:sz="1"/>
              <w:left w:val="single" w:color="CCCCCC" w:sz="1"/>
              <w:bottom w:val="single" w:color="CCCCCC" w:sz="1"/>
              <w:right w:val="single" w:color="CCCCCC" w:sz="1"/>
            </w:tcBorders>
            <w:shd w:fill="EAE7F5" w:val="clear"/>
            <w:tcMar>
              <w:top w:type="dxa" w:w="80"/>
              <w:left w:type="dxa" w:w="120"/>
              <w:bottom w:type="dxa" w:w="80"/>
              <w:right w:type="dxa" w:w="120"/>
            </w:tcMar>
          </w:tcPr>
          <w:p>
            <w:pPr>
              <w:spacing w:before="80" w:after="80"/>
              <w:jc w:val="left"/>
            </w:pPr>
            <w:r>
              <w:rPr>
                <w:rFonts w:ascii="Arial" w:cs="Arial" w:eastAsia="Arial" w:hAnsi="Arial"/>
                <w:b/>
                <w:bCs/>
                <w:i w:val="false"/>
                <w:iCs w:val="false"/>
                <w:color w:val="4A3B8C"/>
                <w:sz w:val="17"/>
                <w:szCs w:val="17"/>
              </w:rPr>
              <w:t xml:space="preserve">ART-EP-001</w:t>
            </w:r>
          </w:p>
        </w:tc>
      </w:tr>
    </w:tbl>
    <w:p>
      <w:pPr>
        <w:spacing w:before="100" w:after="0"/>
        <w:jc w:val="left"/>
      </w:pPr>
      <w:r>
        <w:rPr>
          <w:rFonts w:ascii="Arial" w:cs="Arial" w:eastAsia="Arial" w:hAnsi="Arial"/>
          <w:b w:val="false"/>
          <w:bCs w:val="false"/>
          <w:i w:val="false"/>
          <w:iCs w:val="false"/>
          <w:color w:val="000000"/>
          <w:sz w:val="20"/>
          <w:szCs w:val="20"/>
        </w:rPr>
        <w:t xml:space="preserve"/>
      </w:r>
    </w:p>
    <w:p>
      <w:pPr>
        <w:pBdr>
          <w:bottom w:val="single" w:color="4A3B8C" w:sz="4"/>
        </w:pBdr>
        <w:spacing w:before="260" w:after="100"/>
      </w:pPr>
      <w:r>
        <w:rPr>
          <w:rFonts w:ascii="Arial" w:cs="Arial" w:eastAsia="Arial" w:hAnsi="Arial"/>
          <w:b/>
          <w:bCs/>
          <w:color w:val="4A3B8C"/>
          <w:sz w:val="24"/>
          <w:szCs w:val="24"/>
        </w:rPr>
        <w:t xml:space="preserve">3. Grille de lecture des résultats du test de positionnement</w:t>
      </w:r>
    </w:p>
    <w:p>
      <w:pPr>
        <w:spacing w:before="80" w:after="80"/>
        <w:jc w:val="left"/>
      </w:pPr>
      <w:r>
        <w:rPr>
          <w:rFonts w:ascii="Arial" w:cs="Arial" w:eastAsia="Arial" w:hAnsi="Arial"/>
          <w:b w:val="false"/>
          <w:bCs w:val="false"/>
          <w:i w:val="false"/>
          <w:iCs w:val="false"/>
          <w:color w:val="000000"/>
          <w:sz w:val="18"/>
          <w:szCs w:val="18"/>
        </w:rPr>
        <w:t xml:space="preserve">Le test ART-POS-001 est noté sur 30 points. La grille ci-dessous traduit les résultats en décisions pédagogiques concrètes.</w:t>
      </w:r>
    </w:p>
    <w:p>
      <w:pPr>
        <w:spacing w:before="100" w:after="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200"/>
        <w:gridCol w:w="2360"/>
        <w:gridCol w:w="1800"/>
      </w:tblGrid>
      <w:tr>
        <w:tc>
          <w:tcPr>
            <w:tcBorders>
              <w:top w:val="single" w:color="CCCCCC" w:sz="1"/>
              <w:left w:val="single" w:color="CCCCCC" w:sz="1"/>
              <w:bottom w:val="single" w:color="CCCCCC" w:sz="1"/>
              <w:right w:val="single" w:color="CCCCCC" w:sz="1"/>
            </w:tcBorders>
            <w:shd w:fill="4A3B8C" w:val="clear"/>
            <w:tcMar>
              <w:top w:type="dxa" w:w="80"/>
              <w:left w:type="dxa" w:w="120"/>
              <w:bottom w:type="dxa" w:w="80"/>
              <w:right w:type="dxa" w:w="120"/>
            </w:tcMar>
          </w:tcPr>
          <w:p>
            <w:pPr>
              <w:spacing w:before="80" w:after="80"/>
              <w:jc w:val="left"/>
            </w:pPr>
            <w:r>
              <w:rPr>
                <w:rFonts w:ascii="Arial" w:cs="Arial" w:eastAsia="Arial" w:hAnsi="Arial"/>
                <w:b/>
                <w:bCs/>
                <w:i w:val="false"/>
                <w:iCs w:val="false"/>
                <w:color w:val="FFFFFF"/>
                <w:sz w:val="18"/>
                <w:szCs w:val="18"/>
              </w:rPr>
              <w:t xml:space="preserve">Score /30</w:t>
            </w:r>
          </w:p>
        </w:tc>
        <w:tc>
          <w:tcPr>
            <w:tcBorders>
              <w:top w:val="single" w:color="CCCCCC" w:sz="1"/>
              <w:left w:val="single" w:color="CCCCCC" w:sz="1"/>
              <w:bottom w:val="single" w:color="CCCCCC" w:sz="1"/>
              <w:right w:val="single" w:color="CCCCCC" w:sz="1"/>
            </w:tcBorders>
            <w:shd w:fill="4A3B8C" w:val="clear"/>
            <w:tcMar>
              <w:top w:type="dxa" w:w="80"/>
              <w:left w:type="dxa" w:w="120"/>
              <w:bottom w:type="dxa" w:w="80"/>
              <w:right w:type="dxa" w:w="120"/>
            </w:tcMar>
          </w:tcPr>
          <w:p>
            <w:pPr>
              <w:spacing w:before="80" w:after="80"/>
              <w:jc w:val="left"/>
            </w:pPr>
            <w:r>
              <w:rPr>
                <w:rFonts w:ascii="Arial" w:cs="Arial" w:eastAsia="Arial" w:hAnsi="Arial"/>
                <w:b/>
                <w:bCs/>
                <w:i w:val="false"/>
                <w:iCs w:val="false"/>
                <w:color w:val="FFFFFF"/>
                <w:sz w:val="18"/>
                <w:szCs w:val="18"/>
              </w:rPr>
              <w:t xml:space="preserve">Profil</w:t>
            </w:r>
          </w:p>
        </w:tc>
        <w:tc>
          <w:tcPr>
            <w:tcBorders>
              <w:top w:val="single" w:color="CCCCCC" w:sz="1"/>
              <w:left w:val="single" w:color="CCCCCC" w:sz="1"/>
              <w:bottom w:val="single" w:color="CCCCCC" w:sz="1"/>
              <w:right w:val="single" w:color="CCCCCC" w:sz="1"/>
            </w:tcBorders>
            <w:shd w:fill="4A3B8C" w:val="clear"/>
            <w:tcMar>
              <w:top w:type="dxa" w:w="80"/>
              <w:left w:type="dxa" w:w="120"/>
              <w:bottom w:type="dxa" w:w="80"/>
              <w:right w:type="dxa" w:w="120"/>
            </w:tcMar>
          </w:tcPr>
          <w:p>
            <w:pPr>
              <w:spacing w:before="80" w:after="80"/>
              <w:jc w:val="left"/>
            </w:pPr>
            <w:r>
              <w:rPr>
                <w:rFonts w:ascii="Arial" w:cs="Arial" w:eastAsia="Arial" w:hAnsi="Arial"/>
                <w:b/>
                <w:bCs/>
                <w:i w:val="false"/>
                <w:iCs w:val="false"/>
                <w:color w:val="FFFFFF"/>
                <w:sz w:val="18"/>
                <w:szCs w:val="18"/>
              </w:rPr>
              <w:t xml:space="preserve">Diagnostic</w:t>
            </w:r>
          </w:p>
        </w:tc>
        <w:tc>
          <w:tcPr>
            <w:tcBorders>
              <w:top w:val="single" w:color="CCCCCC" w:sz="1"/>
              <w:left w:val="single" w:color="CCCCCC" w:sz="1"/>
              <w:bottom w:val="single" w:color="CCCCCC" w:sz="1"/>
              <w:right w:val="single" w:color="CCCCCC" w:sz="1"/>
            </w:tcBorders>
            <w:shd w:fill="4A3B8C" w:val="clear"/>
            <w:tcMar>
              <w:top w:type="dxa" w:w="80"/>
              <w:left w:type="dxa" w:w="120"/>
              <w:bottom w:type="dxa" w:w="80"/>
              <w:right w:type="dxa" w:w="120"/>
            </w:tcMar>
          </w:tcPr>
          <w:p>
            <w:pPr>
              <w:spacing w:before="80" w:after="80"/>
              <w:jc w:val="left"/>
            </w:pPr>
            <w:r>
              <w:rPr>
                <w:rFonts w:ascii="Arial" w:cs="Arial" w:eastAsia="Arial" w:hAnsi="Arial"/>
                <w:b/>
                <w:bCs/>
                <w:i w:val="false"/>
                <w:iCs w:val="false"/>
                <w:color w:val="FFFFFF"/>
                <w:sz w:val="18"/>
                <w:szCs w:val="18"/>
              </w:rPr>
              <w:t xml:space="preserve">Adaptation pédagogique prévue</w:t>
            </w:r>
          </w:p>
        </w:tc>
        <w:tc>
          <w:tcPr>
            <w:tcBorders>
              <w:top w:val="single" w:color="CCCCCC" w:sz="1"/>
              <w:left w:val="single" w:color="CCCCCC" w:sz="1"/>
              <w:bottom w:val="single" w:color="CCCCCC" w:sz="1"/>
              <w:right w:val="single" w:color="CCCCCC" w:sz="1"/>
            </w:tcBorders>
            <w:shd w:fill="4A3B8C" w:val="clear"/>
            <w:tcMar>
              <w:top w:type="dxa" w:w="80"/>
              <w:left w:type="dxa" w:w="120"/>
              <w:bottom w:type="dxa" w:w="80"/>
              <w:right w:type="dxa" w:w="120"/>
            </w:tcMar>
          </w:tcPr>
          <w:p>
            <w:pPr>
              <w:spacing w:before="80" w:after="80"/>
              <w:jc w:val="left"/>
            </w:pPr>
            <w:r>
              <w:rPr>
                <w:rFonts w:ascii="Arial" w:cs="Arial" w:eastAsia="Arial" w:hAnsi="Arial"/>
                <w:b/>
                <w:bCs/>
                <w:i w:val="false"/>
                <w:iCs w:val="false"/>
                <w:color w:val="FFFFFF"/>
                <w:sz w:val="18"/>
                <w:szCs w:val="18"/>
              </w:rPr>
              <w:t xml:space="preserve">Décision d'entrée</w:t>
            </w:r>
          </w:p>
        </w:tc>
      </w:tr>
      <w:tr>
        <w:tc>
          <w:tcPr>
            <w:tcBorders>
              <w:top w:val="single" w:color="CCCCCC" w:sz="1"/>
              <w:left w:val="single" w:color="CCCCCC" w:sz="1"/>
              <w:bottom w:val="single" w:color="CCCCCC" w:sz="1"/>
              <w:right w:val="single" w:color="CCCCCC" w:sz="1"/>
            </w:tcBorders>
            <w:shd w:fill="EAE7F5" w:val="clear"/>
            <w:tcMar>
              <w:top w:type="dxa" w:w="80"/>
              <w:left w:type="dxa" w:w="120"/>
              <w:bottom w:type="dxa" w:w="80"/>
              <w:right w:type="dxa" w:w="120"/>
            </w:tcMar>
            <w:vAlign w:val="center"/>
          </w:tcPr>
          <w:p>
            <w:pPr>
              <w:spacing w:before="80" w:after="80"/>
              <w:jc w:val="left"/>
            </w:pPr>
            <w:r>
              <w:rPr>
                <w:rFonts w:ascii="Arial" w:cs="Arial" w:eastAsia="Arial" w:hAnsi="Arial"/>
                <w:b/>
                <w:bCs/>
                <w:i w:val="false"/>
                <w:iCs w:val="false"/>
                <w:color w:val="4A3B8C"/>
                <w:sz w:val="18"/>
                <w:szCs w:val="18"/>
              </w:rPr>
              <w:t xml:space="preserve">0 – 9</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80" w:after="80"/>
              <w:jc w:val="left"/>
            </w:pPr>
            <w:r>
              <w:rPr>
                <w:rFonts w:ascii="Arial" w:cs="Arial" w:eastAsia="Arial" w:hAnsi="Arial"/>
                <w:b/>
                <w:bCs/>
                <w:i w:val="false"/>
                <w:iCs w:val="false"/>
                <w:color w:val="000000"/>
                <w:sz w:val="17"/>
                <w:szCs w:val="17"/>
              </w:rPr>
              <w:t xml:space="preserve">Débutant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80" w:after="80"/>
              <w:jc w:val="left"/>
            </w:pPr>
            <w:r>
              <w:rPr>
                <w:rFonts w:ascii="Arial" w:cs="Arial" w:eastAsia="Arial" w:hAnsi="Arial"/>
                <w:b w:val="false"/>
                <w:bCs w:val="false"/>
                <w:i/>
                <w:iCs/>
                <w:color w:val="000000"/>
                <w:sz w:val="16"/>
                <w:szCs w:val="16"/>
              </w:rPr>
              <w:t xml:space="preserve">Bases juridiques insuffisantes — lacunes majeures sur droit public et méthode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80" w:after="80"/>
              <w:jc w:val="left"/>
            </w:pPr>
            <w:r>
              <w:rPr>
                <w:rFonts w:ascii="Arial" w:cs="Arial" w:eastAsia="Arial" w:hAnsi="Arial"/>
                <w:b w:val="false"/>
                <w:bCs w:val="false"/>
                <w:i w:val="false"/>
                <w:iCs w:val="false"/>
                <w:color w:val="000000"/>
                <w:sz w:val="16"/>
                <w:szCs w:val="16"/>
              </w:rPr>
              <w:t xml:space="preserve">Renforcement préalable conseillé (ressources autonomes) + entrée décalée ou module de remise à niveau</w:t>
            </w:r>
          </w:p>
        </w:tc>
        <w:tc>
          <w:tcPr>
            <w:tcBorders>
              <w:top w:val="single" w:color="CCCCCC" w:sz="1"/>
              <w:left w:val="single" w:color="CCCCCC" w:sz="1"/>
              <w:bottom w:val="single" w:color="CCCCCC" w:sz="1"/>
              <w:right w:val="single" w:color="CCCCCC" w:sz="1"/>
            </w:tcBorders>
            <w:shd w:fill="E6F4EC" w:val="clear"/>
            <w:tcMar>
              <w:top w:type="dxa" w:w="80"/>
              <w:left w:type="dxa" w:w="120"/>
              <w:bottom w:type="dxa" w:w="80"/>
              <w:right w:type="dxa" w:w="120"/>
            </w:tcMar>
            <w:vAlign w:val="center"/>
          </w:tcPr>
          <w:p>
            <w:pPr>
              <w:spacing w:before="80" w:after="80"/>
              <w:jc w:val="left"/>
            </w:pPr>
            <w:r>
              <w:rPr>
                <w:rFonts w:ascii="Arial" w:cs="Arial" w:eastAsia="Arial" w:hAnsi="Arial"/>
                <w:b/>
                <w:bCs/>
                <w:i w:val="false"/>
                <w:iCs w:val="false"/>
                <w:color w:val="1A6E3C"/>
                <w:sz w:val="16"/>
                <w:szCs w:val="16"/>
              </w:rPr>
              <w:t xml:space="preserve">Entrée conditionnelle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80" w:after="80"/>
              <w:jc w:val="left"/>
            </w:pPr>
            <w:r>
              <w:rPr>
                <w:rFonts w:ascii="Arial" w:cs="Arial" w:eastAsia="Arial" w:hAnsi="Arial"/>
                <w:b/>
                <w:bCs/>
                <w:i w:val="false"/>
                <w:iCs w:val="false"/>
                <w:color w:val="4A3B8C"/>
                <w:sz w:val="18"/>
                <w:szCs w:val="18"/>
              </w:rPr>
              <w:t xml:space="preserve">10 – 17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80" w:after="80"/>
              <w:jc w:val="left"/>
            </w:pPr>
            <w:r>
              <w:rPr>
                <w:rFonts w:ascii="Arial" w:cs="Arial" w:eastAsia="Arial" w:hAnsi="Arial"/>
                <w:b/>
                <w:bCs/>
                <w:i w:val="false"/>
                <w:iCs w:val="false"/>
                <w:color w:val="000000"/>
                <w:sz w:val="17"/>
                <w:szCs w:val="17"/>
              </w:rPr>
              <w:t xml:space="preserve">Intermédiaire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b w:val="false"/>
                <w:bCs w:val="false"/>
                <w:i/>
                <w:iCs/>
                <w:color w:val="000000"/>
                <w:sz w:val="16"/>
                <w:szCs w:val="16"/>
              </w:rPr>
              <w:t xml:space="preserve">Connaissances partielles — maîtrise des notions de base mais lacunes sur méthode et approfondissements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b w:val="false"/>
                <w:bCs w:val="false"/>
                <w:i w:val="false"/>
                <w:iCs w:val="false"/>
                <w:color w:val="000000"/>
                <w:sz w:val="16"/>
                <w:szCs w:val="16"/>
              </w:rPr>
              <w:t xml:space="preserve">Programme standard avec insistance sur les modules lacunaires identifiés — suivi individuel renforcé</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80" w:after="80"/>
              <w:jc w:val="left"/>
            </w:pPr>
            <w:r>
              <w:rPr>
                <w:rFonts w:ascii="Arial" w:cs="Arial" w:eastAsia="Arial" w:hAnsi="Arial"/>
                <w:b/>
                <w:bCs/>
                <w:i w:val="false"/>
                <w:iCs w:val="false"/>
                <w:color w:val="1A6E3C"/>
                <w:sz w:val="16"/>
                <w:szCs w:val="16"/>
              </w:rPr>
              <w:t xml:space="preserve">Entrée validée — programme adapté</w:t>
            </w:r>
          </w:p>
        </w:tc>
      </w:tr>
      <w:tr>
        <w:tc>
          <w:tcPr>
            <w:tcBorders>
              <w:top w:val="single" w:color="CCCCCC" w:sz="1"/>
              <w:left w:val="single" w:color="CCCCCC" w:sz="1"/>
              <w:bottom w:val="single" w:color="CCCCCC" w:sz="1"/>
              <w:right w:val="single" w:color="CCCCCC" w:sz="1"/>
            </w:tcBorders>
            <w:shd w:fill="EAE7F5" w:val="clear"/>
            <w:tcMar>
              <w:top w:type="dxa" w:w="80"/>
              <w:left w:type="dxa" w:w="120"/>
              <w:bottom w:type="dxa" w:w="80"/>
              <w:right w:type="dxa" w:w="120"/>
            </w:tcMar>
            <w:vAlign w:val="center"/>
          </w:tcPr>
          <w:p>
            <w:pPr>
              <w:spacing w:before="80" w:after="80"/>
              <w:jc w:val="left"/>
            </w:pPr>
            <w:r>
              <w:rPr>
                <w:rFonts w:ascii="Arial" w:cs="Arial" w:eastAsia="Arial" w:hAnsi="Arial"/>
                <w:b/>
                <w:bCs/>
                <w:i w:val="false"/>
                <w:iCs w:val="false"/>
                <w:color w:val="4A3B8C"/>
                <w:sz w:val="18"/>
                <w:szCs w:val="18"/>
              </w:rPr>
              <w:t xml:space="preserve">18 – 23</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80" w:after="80"/>
              <w:jc w:val="left"/>
            </w:pPr>
            <w:r>
              <w:rPr>
                <w:rFonts w:ascii="Arial" w:cs="Arial" w:eastAsia="Arial" w:hAnsi="Arial"/>
                <w:b/>
                <w:bCs/>
                <w:i w:val="false"/>
                <w:iCs w:val="false"/>
                <w:color w:val="000000"/>
                <w:sz w:val="17"/>
                <w:szCs w:val="17"/>
              </w:rPr>
              <w:t xml:space="preserve">Avancé</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80" w:after="80"/>
              <w:jc w:val="left"/>
            </w:pPr>
            <w:r>
              <w:rPr>
                <w:rFonts w:ascii="Arial" w:cs="Arial" w:eastAsia="Arial" w:hAnsi="Arial"/>
                <w:b w:val="false"/>
                <w:bCs w:val="false"/>
                <w:i/>
                <w:iCs/>
                <w:color w:val="000000"/>
                <w:sz w:val="16"/>
                <w:szCs w:val="16"/>
              </w:rPr>
              <w:t xml:space="preserve">Bonne maîtrise générale — peut manquer de méthode rédactionnelle ou de culture administrative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80" w:after="80"/>
              <w:jc w:val="left"/>
            </w:pPr>
            <w:r>
              <w:rPr>
                <w:rFonts w:ascii="Arial" w:cs="Arial" w:eastAsia="Arial" w:hAnsi="Arial"/>
                <w:b w:val="false"/>
                <w:bCs w:val="false"/>
                <w:i w:val="false"/>
                <w:iCs w:val="false"/>
                <w:color w:val="000000"/>
                <w:sz w:val="16"/>
                <w:szCs w:val="16"/>
              </w:rPr>
              <w:t xml:space="preserve">Programme standard — focus sur production écrite et orale — modules avancés en priorité</w:t>
            </w:r>
          </w:p>
        </w:tc>
        <w:tc>
          <w:tcPr>
            <w:tcBorders>
              <w:top w:val="single" w:color="CCCCCC" w:sz="1"/>
              <w:left w:val="single" w:color="CCCCCC" w:sz="1"/>
              <w:bottom w:val="single" w:color="CCCCCC" w:sz="1"/>
              <w:right w:val="single" w:color="CCCCCC" w:sz="1"/>
            </w:tcBorders>
            <w:shd w:fill="E6F4EC" w:val="clear"/>
            <w:tcMar>
              <w:top w:type="dxa" w:w="80"/>
              <w:left w:type="dxa" w:w="120"/>
              <w:bottom w:type="dxa" w:w="80"/>
              <w:right w:type="dxa" w:w="120"/>
            </w:tcMar>
            <w:vAlign w:val="center"/>
          </w:tcPr>
          <w:p>
            <w:pPr>
              <w:spacing w:before="80" w:after="80"/>
              <w:jc w:val="left"/>
            </w:pPr>
            <w:r>
              <w:rPr>
                <w:rFonts w:ascii="Arial" w:cs="Arial" w:eastAsia="Arial" w:hAnsi="Arial"/>
                <w:b/>
                <w:bCs/>
                <w:i w:val="false"/>
                <w:iCs w:val="false"/>
                <w:color w:val="1A6E3C"/>
                <w:sz w:val="16"/>
                <w:szCs w:val="16"/>
              </w:rPr>
              <w:t xml:space="preserve">Entrée validée — programme standard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80" w:after="80"/>
              <w:jc w:val="left"/>
            </w:pPr>
            <w:r>
              <w:rPr>
                <w:rFonts w:ascii="Arial" w:cs="Arial" w:eastAsia="Arial" w:hAnsi="Arial"/>
                <w:b/>
                <w:bCs/>
                <w:i w:val="false"/>
                <w:iCs w:val="false"/>
                <w:color w:val="4A3B8C"/>
                <w:sz w:val="18"/>
                <w:szCs w:val="18"/>
              </w:rPr>
              <w:t xml:space="preserve">24 – 30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80" w:after="80"/>
              <w:jc w:val="left"/>
            </w:pPr>
            <w:r>
              <w:rPr>
                <w:rFonts w:ascii="Arial" w:cs="Arial" w:eastAsia="Arial" w:hAnsi="Arial"/>
                <w:b/>
                <w:bCs/>
                <w:i w:val="false"/>
                <w:iCs w:val="false"/>
                <w:color w:val="000000"/>
                <w:sz w:val="17"/>
                <w:szCs w:val="17"/>
              </w:rPr>
              <w:t xml:space="preserve">Expert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b w:val="false"/>
                <w:bCs w:val="false"/>
                <w:i/>
                <w:iCs/>
                <w:color w:val="000000"/>
                <w:sz w:val="16"/>
                <w:szCs w:val="16"/>
              </w:rPr>
              <w:t xml:space="preserve">Niveau pré-concours solide — bases maîtrisées — besoin d'affûtage et de conditions réelles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b w:val="false"/>
                <w:bCs w:val="false"/>
                <w:i w:val="false"/>
                <w:iCs w:val="false"/>
                <w:color w:val="000000"/>
                <w:sz w:val="16"/>
                <w:szCs w:val="16"/>
              </w:rPr>
              <w:t xml:space="preserve">Réduction des apports théoriques — intensification des devoirs blancs et simulations — coaching oral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80" w:after="80"/>
              <w:jc w:val="left"/>
            </w:pPr>
            <w:r>
              <w:rPr>
                <w:rFonts w:ascii="Arial" w:cs="Arial" w:eastAsia="Arial" w:hAnsi="Arial"/>
                <w:b/>
                <w:bCs/>
                <w:i w:val="false"/>
                <w:iCs w:val="false"/>
                <w:color w:val="1A6E3C"/>
                <w:sz w:val="16"/>
                <w:szCs w:val="16"/>
              </w:rPr>
              <w:t xml:space="preserve">Entrée validée — programme intensif</w:t>
            </w:r>
          </w:p>
        </w:tc>
      </w:tr>
    </w:tbl>
    <w:p>
      <w:pPr>
        <w:spacing w:before="100" w:after="0"/>
        <w:jc w:val="left"/>
      </w:pPr>
      <w:r>
        <w:rPr>
          <w:rFonts w:ascii="Arial" w:cs="Arial" w:eastAsia="Arial" w:hAnsi="Arial"/>
          <w:b w:val="false"/>
          <w:bCs w:val="false"/>
          <w:i w:val="false"/>
          <w:iCs w:val="false"/>
          <w:color w:val="000000"/>
          <w:sz w:val="20"/>
          <w:szCs w:val="20"/>
        </w:rPr>
        <w:t xml:space="preserve"/>
      </w:r>
    </w:p>
    <w:p>
      <w:pPr>
        <w:pBdr>
          <w:bottom w:val="single" w:color="4A3B8C" w:sz="4"/>
        </w:pBdr>
        <w:spacing w:before="260" w:after="100"/>
      </w:pPr>
      <w:r>
        <w:rPr>
          <w:rFonts w:ascii="Arial" w:cs="Arial" w:eastAsia="Arial" w:hAnsi="Arial"/>
          <w:b/>
          <w:bCs/>
          <w:color w:val="4A3B8C"/>
          <w:sz w:val="24"/>
          <w:szCs w:val="24"/>
        </w:rPr>
        <w:t xml:space="preserve">4. Procédure pas à 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3200"/>
      </w:tblGrid>
      <w:tr>
        <w:tc>
          <w:tcPr>
            <w:tcBorders>
              <w:top w:val="single" w:color="CCCCCC" w:sz="1"/>
              <w:left w:val="single" w:color="CCCCCC" w:sz="1"/>
              <w:bottom w:val="single" w:color="CCCCCC" w:sz="1"/>
              <w:right w:val="single" w:color="CCCCCC" w:sz="1"/>
            </w:tcBorders>
            <w:shd w:fill="4A3B8C" w:val="clear"/>
            <w:tcMar>
              <w:top w:type="dxa" w:w="80"/>
              <w:left w:type="dxa" w:w="80"/>
              <w:bottom w:type="dxa" w:w="80"/>
              <w:right w:type="dxa" w:w="80"/>
            </w:tcMar>
          </w:tcPr>
          <w:p>
            <w:pPr>
              <w:spacing w:before="80" w:after="80"/>
              <w:jc w:val="left"/>
            </w:pPr>
            <w:r>
              <w:rPr>
                <w:rFonts w:ascii="Arial" w:cs="Arial" w:eastAsia="Arial" w:hAnsi="Arial"/>
                <w:b/>
                <w:bCs/>
                <w:i w:val="false"/>
                <w:iCs w:val="false"/>
                <w:color w:val="FFFFFF"/>
                <w:sz w:val="17"/>
                <w:szCs w:val="17"/>
              </w:rPr>
              <w:t xml:space="preserve">Étape</w:t>
            </w:r>
          </w:p>
        </w:tc>
        <w:tc>
          <w:tcPr>
            <w:tcBorders>
              <w:top w:val="single" w:color="CCCCCC" w:sz="1"/>
              <w:left w:val="single" w:color="CCCCCC" w:sz="1"/>
              <w:bottom w:val="single" w:color="CCCCCC" w:sz="1"/>
              <w:right w:val="single" w:color="CCCCCC" w:sz="1"/>
            </w:tcBorders>
            <w:shd w:fill="4A3B8C" w:val="clear"/>
            <w:tcMar>
              <w:top w:type="dxa" w:w="80"/>
              <w:left w:type="dxa" w:w="120"/>
              <w:bottom w:type="dxa" w:w="80"/>
              <w:right w:type="dxa" w:w="120"/>
            </w:tcMar>
          </w:tcPr>
          <w:p>
            <w:pPr>
              <w:spacing w:before="80" w:after="80"/>
              <w:jc w:val="left"/>
            </w:pPr>
            <w:r>
              <w:rPr>
                <w:rFonts w:ascii="Arial" w:cs="Arial" w:eastAsia="Arial" w:hAnsi="Arial"/>
                <w:b/>
                <w:bCs/>
                <w:i w:val="false"/>
                <w:iCs w:val="false"/>
                <w:color w:val="FFFFFF"/>
                <w:sz w:val="17"/>
                <w:szCs w:val="17"/>
              </w:rPr>
              <w:t xml:space="preserve">Action</w:t>
            </w:r>
          </w:p>
        </w:tc>
        <w:tc>
          <w:tcPr>
            <w:tcBorders>
              <w:top w:val="single" w:color="CCCCCC" w:sz="1"/>
              <w:left w:val="single" w:color="CCCCCC" w:sz="1"/>
              <w:bottom w:val="single" w:color="CCCCCC" w:sz="1"/>
              <w:right w:val="single" w:color="CCCCCC" w:sz="1"/>
            </w:tcBorders>
            <w:shd w:fill="4A3B8C" w:val="clear"/>
            <w:tcMar>
              <w:top w:type="dxa" w:w="80"/>
              <w:left w:type="dxa" w:w="120"/>
              <w:bottom w:type="dxa" w:w="80"/>
              <w:right w:type="dxa" w:w="120"/>
            </w:tcMar>
          </w:tcPr>
          <w:p>
            <w:pPr>
              <w:spacing w:before="80" w:after="80"/>
              <w:jc w:val="left"/>
            </w:pPr>
            <w:r>
              <w:rPr>
                <w:rFonts w:ascii="Arial" w:cs="Arial" w:eastAsia="Arial" w:hAnsi="Arial"/>
                <w:b/>
                <w:bCs/>
                <w:i w:val="false"/>
                <w:iCs w:val="false"/>
                <w:color w:val="FFFFFF"/>
                <w:sz w:val="17"/>
                <w:szCs w:val="17"/>
              </w:rPr>
              <w:t xml:space="preserve">Trace / preuve produite</w:t>
            </w:r>
          </w:p>
        </w:tc>
      </w:tr>
      <w:tr>
        <w:tc>
          <w:tcPr>
            <w:tcBorders>
              <w:top w:val="single" w:color="CCCCCC" w:sz="1"/>
              <w:left w:val="single" w:color="CCCCCC" w:sz="1"/>
              <w:bottom w:val="single" w:color="CCCCCC" w:sz="1"/>
              <w:right w:val="single" w:color="CCCCCC" w:sz="1"/>
            </w:tcBorders>
            <w:shd w:fill="EAE7F5" w:val="clear"/>
            <w:tcMar>
              <w:top w:type="dxa" w:w="80"/>
              <w:left w:type="dxa" w:w="80"/>
              <w:bottom w:type="dxa" w:w="80"/>
              <w:right w:type="dxa" w:w="80"/>
            </w:tcMar>
            <w:vAlign w:val="center"/>
          </w:tcPr>
          <w:p>
            <w:pPr>
              <w:jc w:val="center"/>
            </w:pPr>
            <w:r>
              <w:rPr>
                <w:rFonts w:ascii="Arial" w:cs="Arial" w:eastAsia="Arial" w:hAnsi="Arial"/>
                <w:b/>
                <w:bCs/>
                <w:color w:val="4A3B8C"/>
                <w:sz w:val="18"/>
                <w:szCs w:val="18"/>
              </w:rPr>
              <w:t xml:space="preserve">1</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80" w:after="80"/>
              <w:jc w:val="left"/>
            </w:pPr>
            <w:r>
              <w:rPr>
                <w:rFonts w:ascii="Arial" w:cs="Arial" w:eastAsia="Arial" w:hAnsi="Arial"/>
                <w:b w:val="false"/>
                <w:bCs w:val="false"/>
                <w:i w:val="false"/>
                <w:iCs w:val="false"/>
                <w:color w:val="000000"/>
                <w:sz w:val="17"/>
                <w:szCs w:val="17"/>
              </w:rPr>
              <w:t xml:space="preserve">Réception de la demande d'inscription — envoi de la fiche recueil des besoins (ART-RB-001)</w:t>
            </w:r>
          </w:p>
        </w:tc>
        <w:tc>
          <w:tcPr>
            <w:tcBorders>
              <w:top w:val="single" w:color="CCCCCC" w:sz="1"/>
              <w:left w:val="single" w:color="CCCCCC" w:sz="1"/>
              <w:bottom w:val="single" w:color="CCCCCC" w:sz="1"/>
              <w:right w:val="single" w:color="CCCCCC" w:sz="1"/>
            </w:tcBorders>
            <w:shd w:fill="E6F4EC" w:val="clear"/>
            <w:tcMar>
              <w:top w:type="dxa" w:w="80"/>
              <w:left w:type="dxa" w:w="120"/>
              <w:bottom w:type="dxa" w:w="80"/>
              <w:right w:type="dxa" w:w="120"/>
            </w:tcMar>
          </w:tcPr>
          <w:p>
            <w:pPr>
              <w:spacing w:before="80" w:after="80"/>
              <w:jc w:val="left"/>
            </w:pPr>
            <w:r>
              <w:rPr>
                <w:rFonts w:ascii="Arial" w:cs="Arial" w:eastAsia="Arial" w:hAnsi="Arial"/>
                <w:b/>
                <w:bCs/>
                <w:i w:val="false"/>
                <w:iCs w:val="false"/>
                <w:color w:val="1A6E3C"/>
                <w:sz w:val="17"/>
                <w:szCs w:val="17"/>
              </w:rPr>
              <w:t xml:space="preserve">Fiche RB complétée et signée</w:t>
            </w:r>
          </w:p>
        </w:tc>
      </w:tr>
      <w:tr>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4A3B8C"/>
                <w:sz w:val="18"/>
                <w:szCs w:val="18"/>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b w:val="false"/>
                <w:bCs w:val="false"/>
                <w:i w:val="false"/>
                <w:iCs w:val="false"/>
                <w:color w:val="000000"/>
                <w:sz w:val="17"/>
                <w:szCs w:val="17"/>
              </w:rPr>
              <w:t xml:space="preserve">Organisation de l'entretien préalable (30 min, distanciel ou présentiel)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b/>
                <w:bCs/>
                <w:i w:val="false"/>
                <w:iCs w:val="false"/>
                <w:color w:val="1A6E3C"/>
                <w:sz w:val="17"/>
                <w:szCs w:val="17"/>
              </w:rPr>
              <w:t xml:space="preserve">Email de convocation daté</w:t>
            </w:r>
          </w:p>
        </w:tc>
      </w:tr>
      <w:tr>
        <w:tc>
          <w:tcPr>
            <w:tcBorders>
              <w:top w:val="single" w:color="CCCCCC" w:sz="1"/>
              <w:left w:val="single" w:color="CCCCCC" w:sz="1"/>
              <w:bottom w:val="single" w:color="CCCCCC" w:sz="1"/>
              <w:right w:val="single" w:color="CCCCCC" w:sz="1"/>
            </w:tcBorders>
            <w:shd w:fill="EAE7F5" w:val="clear"/>
            <w:tcMar>
              <w:top w:type="dxa" w:w="80"/>
              <w:left w:type="dxa" w:w="80"/>
              <w:bottom w:type="dxa" w:w="80"/>
              <w:right w:type="dxa" w:w="80"/>
            </w:tcMar>
            <w:vAlign w:val="center"/>
          </w:tcPr>
          <w:p>
            <w:pPr>
              <w:jc w:val="center"/>
            </w:pPr>
            <w:r>
              <w:rPr>
                <w:rFonts w:ascii="Arial" w:cs="Arial" w:eastAsia="Arial" w:hAnsi="Arial"/>
                <w:b/>
                <w:bCs/>
                <w:color w:val="4A3B8C"/>
                <w:sz w:val="18"/>
                <w:szCs w:val="18"/>
              </w:rPr>
              <w:t xml:space="preserve">3</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80" w:after="80"/>
              <w:jc w:val="left"/>
            </w:pPr>
            <w:r>
              <w:rPr>
                <w:rFonts w:ascii="Arial" w:cs="Arial" w:eastAsia="Arial" w:hAnsi="Arial"/>
                <w:b w:val="false"/>
                <w:bCs w:val="false"/>
                <w:i w:val="false"/>
                <w:iCs w:val="false"/>
                <w:color w:val="000000"/>
                <w:sz w:val="17"/>
                <w:szCs w:val="17"/>
              </w:rPr>
              <w:t xml:space="preserve">Administration du test de positionnement (ART-POS-001) — 45 min sans document</w:t>
            </w:r>
          </w:p>
        </w:tc>
        <w:tc>
          <w:tcPr>
            <w:tcBorders>
              <w:top w:val="single" w:color="CCCCCC" w:sz="1"/>
              <w:left w:val="single" w:color="CCCCCC" w:sz="1"/>
              <w:bottom w:val="single" w:color="CCCCCC" w:sz="1"/>
              <w:right w:val="single" w:color="CCCCCC" w:sz="1"/>
            </w:tcBorders>
            <w:shd w:fill="E6F4EC" w:val="clear"/>
            <w:tcMar>
              <w:top w:type="dxa" w:w="80"/>
              <w:left w:type="dxa" w:w="120"/>
              <w:bottom w:type="dxa" w:w="80"/>
              <w:right w:type="dxa" w:w="120"/>
            </w:tcMar>
          </w:tcPr>
          <w:p>
            <w:pPr>
              <w:spacing w:before="80" w:after="80"/>
              <w:jc w:val="left"/>
            </w:pPr>
            <w:r>
              <w:rPr>
                <w:rFonts w:ascii="Arial" w:cs="Arial" w:eastAsia="Arial" w:hAnsi="Arial"/>
                <w:b/>
                <w:bCs/>
                <w:i w:val="false"/>
                <w:iCs w:val="false"/>
                <w:color w:val="1A6E3C"/>
                <w:sz w:val="17"/>
                <w:szCs w:val="17"/>
              </w:rPr>
              <w:t xml:space="preserve">Test complété et daté, conservé au dossier</w:t>
            </w:r>
          </w:p>
        </w:tc>
      </w:tr>
      <w:tr>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4A3B8C"/>
                <w:sz w:val="18"/>
                <w:szCs w:val="18"/>
              </w:rPr>
              <w:t xml:space="preserve">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b w:val="false"/>
                <w:bCs w:val="false"/>
                <w:i w:val="false"/>
                <w:iCs w:val="false"/>
                <w:color w:val="000000"/>
                <w:sz w:val="17"/>
                <w:szCs w:val="17"/>
              </w:rPr>
              <w:t xml:space="preserve">Correction du test par le formateur — application de la grille de lecture ci-dessus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b/>
                <w:bCs/>
                <w:i w:val="false"/>
                <w:iCs w:val="false"/>
                <w:color w:val="1A6E3C"/>
                <w:sz w:val="17"/>
                <w:szCs w:val="17"/>
              </w:rPr>
              <w:t xml:space="preserve">Grille d'évaluation remplie (ART-POS-001, partie formateur)</w:t>
            </w:r>
          </w:p>
        </w:tc>
      </w:tr>
      <w:tr>
        <w:tc>
          <w:tcPr>
            <w:tcBorders>
              <w:top w:val="single" w:color="CCCCCC" w:sz="1"/>
              <w:left w:val="single" w:color="CCCCCC" w:sz="1"/>
              <w:bottom w:val="single" w:color="CCCCCC" w:sz="1"/>
              <w:right w:val="single" w:color="CCCCCC" w:sz="1"/>
            </w:tcBorders>
            <w:shd w:fill="EAE7F5" w:val="clear"/>
            <w:tcMar>
              <w:top w:type="dxa" w:w="80"/>
              <w:left w:type="dxa" w:w="80"/>
              <w:bottom w:type="dxa" w:w="80"/>
              <w:right w:type="dxa" w:w="80"/>
            </w:tcMar>
            <w:vAlign w:val="center"/>
          </w:tcPr>
          <w:p>
            <w:pPr>
              <w:jc w:val="center"/>
            </w:pPr>
            <w:r>
              <w:rPr>
                <w:rFonts w:ascii="Arial" w:cs="Arial" w:eastAsia="Arial" w:hAnsi="Arial"/>
                <w:b/>
                <w:bCs/>
                <w:color w:val="4A3B8C"/>
                <w:sz w:val="18"/>
                <w:szCs w:val="18"/>
              </w:rPr>
              <w:t xml:space="preserve">5</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80" w:after="80"/>
              <w:jc w:val="left"/>
            </w:pPr>
            <w:r>
              <w:rPr>
                <w:rFonts w:ascii="Arial" w:cs="Arial" w:eastAsia="Arial" w:hAnsi="Arial"/>
                <w:b w:val="false"/>
                <w:bCs w:val="false"/>
                <w:i w:val="false"/>
                <w:iCs w:val="false"/>
                <w:color w:val="000000"/>
                <w:sz w:val="17"/>
                <w:szCs w:val="17"/>
              </w:rPr>
              <w:t xml:space="preserve">Entretien préalable : restitution des résultats au candidat, discussion des adaptations</w:t>
            </w:r>
          </w:p>
        </w:tc>
        <w:tc>
          <w:tcPr>
            <w:tcBorders>
              <w:top w:val="single" w:color="CCCCCC" w:sz="1"/>
              <w:left w:val="single" w:color="CCCCCC" w:sz="1"/>
              <w:bottom w:val="single" w:color="CCCCCC" w:sz="1"/>
              <w:right w:val="single" w:color="CCCCCC" w:sz="1"/>
            </w:tcBorders>
            <w:shd w:fill="E6F4EC" w:val="clear"/>
            <w:tcMar>
              <w:top w:type="dxa" w:w="80"/>
              <w:left w:type="dxa" w:w="120"/>
              <w:bottom w:type="dxa" w:w="80"/>
              <w:right w:type="dxa" w:w="120"/>
            </w:tcMar>
          </w:tcPr>
          <w:p>
            <w:pPr>
              <w:spacing w:before="80" w:after="80"/>
              <w:jc w:val="left"/>
            </w:pPr>
            <w:r>
              <w:rPr>
                <w:rFonts w:ascii="Arial" w:cs="Arial" w:eastAsia="Arial" w:hAnsi="Arial"/>
                <w:b/>
                <w:bCs/>
                <w:i w:val="false"/>
                <w:iCs w:val="false"/>
                <w:color w:val="1A6E3C"/>
                <w:sz w:val="17"/>
                <w:szCs w:val="17"/>
              </w:rPr>
              <w:t xml:space="preserve">CR entretien (ART-EP-001) complété et signé par les deux parties</w:t>
            </w:r>
          </w:p>
        </w:tc>
      </w:tr>
      <w:tr>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4A3B8C"/>
                <w:sz w:val="18"/>
                <w:szCs w:val="18"/>
              </w:rPr>
              <w:t xml:space="preserve">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b w:val="false"/>
                <w:bCs w:val="false"/>
                <w:i w:val="false"/>
                <w:iCs w:val="false"/>
                <w:color w:val="000000"/>
                <w:sz w:val="17"/>
                <w:szCs w:val="17"/>
              </w:rPr>
              <w:t xml:space="preserve">Décision d'admission et d'adaptation pédagogique formalisée dans le CR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b/>
                <w:bCs/>
                <w:i w:val="false"/>
                <w:iCs w:val="false"/>
                <w:color w:val="1A6E3C"/>
                <w:sz w:val="17"/>
                <w:szCs w:val="17"/>
              </w:rPr>
              <w:t xml:space="preserve">ART-EP-001 — section 3 (décision) et section 4 (adaptations)</w:t>
            </w:r>
          </w:p>
        </w:tc>
      </w:tr>
      <w:tr>
        <w:tc>
          <w:tcPr>
            <w:tcBorders>
              <w:top w:val="single" w:color="CCCCCC" w:sz="1"/>
              <w:left w:val="single" w:color="CCCCCC" w:sz="1"/>
              <w:bottom w:val="single" w:color="CCCCCC" w:sz="1"/>
              <w:right w:val="single" w:color="CCCCCC" w:sz="1"/>
            </w:tcBorders>
            <w:shd w:fill="EAE7F5" w:val="clear"/>
            <w:tcMar>
              <w:top w:type="dxa" w:w="80"/>
              <w:left w:type="dxa" w:w="80"/>
              <w:bottom w:type="dxa" w:w="80"/>
              <w:right w:type="dxa" w:w="80"/>
            </w:tcMar>
            <w:vAlign w:val="center"/>
          </w:tcPr>
          <w:p>
            <w:pPr>
              <w:jc w:val="center"/>
            </w:pPr>
            <w:r>
              <w:rPr>
                <w:rFonts w:ascii="Arial" w:cs="Arial" w:eastAsia="Arial" w:hAnsi="Arial"/>
                <w:b/>
                <w:bCs/>
                <w:color w:val="4A3B8C"/>
                <w:sz w:val="18"/>
                <w:szCs w:val="18"/>
              </w:rPr>
              <w:t xml:space="preserve">7</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80" w:after="80"/>
              <w:jc w:val="left"/>
            </w:pPr>
            <w:r>
              <w:rPr>
                <w:rFonts w:ascii="Arial" w:cs="Arial" w:eastAsia="Arial" w:hAnsi="Arial"/>
                <w:b w:val="false"/>
                <w:bCs w:val="false"/>
                <w:i w:val="false"/>
                <w:iCs w:val="false"/>
                <w:color w:val="000000"/>
                <w:sz w:val="17"/>
                <w:szCs w:val="17"/>
              </w:rPr>
              <w:t xml:space="preserve">Transmission des documents au stagiaire + établissement de la convention de formation adaptée</w:t>
            </w:r>
          </w:p>
        </w:tc>
        <w:tc>
          <w:tcPr>
            <w:tcBorders>
              <w:top w:val="single" w:color="CCCCCC" w:sz="1"/>
              <w:left w:val="single" w:color="CCCCCC" w:sz="1"/>
              <w:bottom w:val="single" w:color="CCCCCC" w:sz="1"/>
              <w:right w:val="single" w:color="CCCCCC" w:sz="1"/>
            </w:tcBorders>
            <w:shd w:fill="E6F4EC" w:val="clear"/>
            <w:tcMar>
              <w:top w:type="dxa" w:w="80"/>
              <w:left w:type="dxa" w:w="120"/>
              <w:bottom w:type="dxa" w:w="80"/>
              <w:right w:type="dxa" w:w="120"/>
            </w:tcMar>
          </w:tcPr>
          <w:p>
            <w:pPr>
              <w:spacing w:before="80" w:after="80"/>
              <w:jc w:val="left"/>
            </w:pPr>
            <w:r>
              <w:rPr>
                <w:rFonts w:ascii="Arial" w:cs="Arial" w:eastAsia="Arial" w:hAnsi="Arial"/>
                <w:b/>
                <w:bCs/>
                <w:i w:val="false"/>
                <w:iCs w:val="false"/>
                <w:color w:val="1A6E3C"/>
                <w:sz w:val="17"/>
                <w:szCs w:val="17"/>
              </w:rPr>
              <w:t xml:space="preserve">Convention (ART-CONV-001) mentionnant les adaptations</w:t>
            </w:r>
          </w:p>
        </w:tc>
      </w:tr>
      <w:tr>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4A3B8C"/>
                <w:sz w:val="18"/>
                <w:szCs w:val="18"/>
              </w:rPr>
              <w:t xml:space="preserve">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b w:val="false"/>
                <w:bCs w:val="false"/>
                <w:i w:val="false"/>
                <w:iCs w:val="false"/>
                <w:color w:val="000000"/>
                <w:sz w:val="17"/>
                <w:szCs w:val="17"/>
              </w:rPr>
              <w:t xml:space="preserve">Archivage des 3 documents au dossier individuel du stagiaire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b/>
                <w:bCs/>
                <w:i w:val="false"/>
                <w:iCs w:val="false"/>
                <w:color w:val="1A6E3C"/>
                <w:sz w:val="17"/>
                <w:szCs w:val="17"/>
              </w:rPr>
              <w:t xml:space="preserve">Dossier stagiaire complet — accessible à l'audit</w:t>
            </w:r>
          </w:p>
        </w:tc>
      </w:tr>
    </w:tbl>
    <w:p>
      <w:pPr>
        <w:spacing w:before="100" w:after="0"/>
        <w:jc w:val="left"/>
      </w:pPr>
      <w:r>
        <w:rPr>
          <w:rFonts w:ascii="Arial" w:cs="Arial" w:eastAsia="Arial" w:hAnsi="Arial"/>
          <w:b w:val="false"/>
          <w:bCs w:val="false"/>
          <w:i w:val="false"/>
          <w:iCs w:val="false"/>
          <w:color w:val="000000"/>
          <w:sz w:val="20"/>
          <w:szCs w:val="20"/>
        </w:rPr>
        <w:t xml:space="preserve"/>
      </w:r>
    </w:p>
    <w:p>
      <w:pPr>
        <w:pBdr>
          <w:bottom w:val="single" w:color="4A3B8C" w:sz="4"/>
        </w:pBdr>
        <w:spacing w:before="260" w:after="100"/>
      </w:pPr>
      <w:r>
        <w:rPr>
          <w:rFonts w:ascii="Arial" w:cs="Arial" w:eastAsia="Arial" w:hAnsi="Arial"/>
          <w:b/>
          <w:bCs/>
          <w:color w:val="4A3B8C"/>
          <w:sz w:val="24"/>
          <w:szCs w:val="24"/>
        </w:rPr>
        <w:t xml:space="preserve">5. Cas particuliers</w:t>
      </w:r>
    </w:p>
    <w:p>
      <w:pPr>
        <w:spacing w:before="160" w:after="60"/>
        <w:jc w:val="left"/>
      </w:pPr>
      <w:r>
        <w:rPr>
          <w:rFonts w:ascii="Arial" w:cs="Arial" w:eastAsia="Arial" w:hAnsi="Arial"/>
          <w:b/>
          <w:bCs/>
          <w:i w:val="false"/>
          <w:iCs w:val="false"/>
          <w:color w:val="4A3B8C"/>
          <w:sz w:val="20"/>
          <w:szCs w:val="20"/>
        </w:rPr>
        <w:t xml:space="preserve">Stagiaire en situation de handicap (PSH)</w:t>
      </w:r>
    </w:p>
    <w:p>
      <w:pPr>
        <w:spacing w:before="80" w:after="80"/>
        <w:jc w:val="left"/>
      </w:pPr>
      <w:r>
        <w:rPr>
          <w:rFonts w:ascii="Arial" w:cs="Arial" w:eastAsia="Arial" w:hAnsi="Arial"/>
          <w:b w:val="false"/>
          <w:bCs w:val="false"/>
          <w:i w:val="false"/>
          <w:iCs w:val="false"/>
          <w:color w:val="000000"/>
          <w:sz w:val="20"/>
          <w:szCs w:val="20"/>
        </w:rPr>
        <w:t xml:space="preserve">Si le stagiaire déclare une situation de handicap lors du recueil des besoins (ART-RB-001), le test de positionnement est adapté : temps majoré, support adapté si besoin. Le référent handicap (Camille Chapuis) est informé avant l'administration du test. Les aménagements prévus sont tracés dans le CR d'entretien (ART-EP-001) et la politique PSH (ART-PSH-001).</w:t>
      </w:r>
    </w:p>
    <w:p>
      <w:pPr>
        <w:spacing w:before="160" w:after="60"/>
        <w:jc w:val="left"/>
      </w:pPr>
      <w:r>
        <w:rPr>
          <w:rFonts w:ascii="Arial" w:cs="Arial" w:eastAsia="Arial" w:hAnsi="Arial"/>
          <w:b/>
          <w:bCs/>
          <w:i w:val="false"/>
          <w:iCs w:val="false"/>
          <w:color w:val="4A3B8C"/>
          <w:sz w:val="20"/>
          <w:szCs w:val="20"/>
        </w:rPr>
        <w:t xml:space="preserve">Stagiaire présentant un niveau insuffisant (score &lt; 10/30)</w:t>
      </w:r>
    </w:p>
    <w:p>
      <w:pPr>
        <w:spacing w:before="80" w:after="80"/>
        <w:jc w:val="left"/>
      </w:pPr>
      <w:r>
        <w:rPr>
          <w:rFonts w:ascii="Arial" w:cs="Arial" w:eastAsia="Arial" w:hAnsi="Arial"/>
          <w:b w:val="false"/>
          <w:bCs w:val="false"/>
          <w:i w:val="false"/>
          <w:iCs w:val="false"/>
          <w:color w:val="000000"/>
          <w:sz w:val="20"/>
          <w:szCs w:val="20"/>
        </w:rPr>
        <w:t xml:space="preserve">Si le score est inférieur à 10/30, Artémis Prépa informe le candidat que la formation dans sa forme standard n'est pas adaptée à son niveau actuel. Un programme de remise à niveau personnalisé peut être proposé, ou une orientation vers une formation de niveau inférieur. La décision est formalisée dans le CR d'entretien et ne donne pas lieu à facturation avant accord du candidat.</w:t>
      </w:r>
    </w:p>
    <w:p>
      <w:pPr>
        <w:spacing w:before="160" w:after="60"/>
        <w:jc w:val="left"/>
      </w:pPr>
      <w:r>
        <w:rPr>
          <w:rFonts w:ascii="Arial" w:cs="Arial" w:eastAsia="Arial" w:hAnsi="Arial"/>
          <w:b/>
          <w:bCs/>
          <w:i w:val="false"/>
          <w:iCs w:val="false"/>
          <w:color w:val="4A3B8C"/>
          <w:sz w:val="20"/>
          <w:szCs w:val="20"/>
        </w:rPr>
        <w:t xml:space="preserve">Formation à distance</w:t>
      </w:r>
    </w:p>
    <w:p>
      <w:pPr>
        <w:spacing w:before="80" w:after="80"/>
        <w:jc w:val="left"/>
      </w:pPr>
      <w:r>
        <w:rPr>
          <w:rFonts w:ascii="Arial" w:cs="Arial" w:eastAsia="Arial" w:hAnsi="Arial"/>
          <w:b w:val="false"/>
          <w:bCs w:val="false"/>
          <w:i w:val="false"/>
          <w:iCs w:val="false"/>
          <w:color w:val="000000"/>
          <w:sz w:val="20"/>
          <w:szCs w:val="20"/>
        </w:rPr>
        <w:t xml:space="preserve">Le test de positionnement peut être administré en distanciel (envoi par email, retour dans les 48h, sans assistance externe sur l'honneur). La fiche recueil des besoins et le CR d'entretien sont signés électroniquement ou par retour de scan signé. Les documents sont archivés en format numérique avec horodatage.</w:t>
      </w:r>
    </w:p>
    <w:p>
      <w:pPr>
        <w:spacing w:before="100" w:after="0"/>
        <w:jc w:val="left"/>
      </w:pPr>
      <w:r>
        <w:rPr>
          <w:rFonts w:ascii="Arial" w:cs="Arial" w:eastAsia="Arial" w:hAnsi="Arial"/>
          <w:b w:val="false"/>
          <w:bCs w:val="false"/>
          <w:i w:val="false"/>
          <w:iCs w:val="false"/>
          <w:color w:val="000000"/>
          <w:sz w:val="20"/>
          <w:szCs w:val="20"/>
        </w:rPr>
        <w:t xml:space="preserve"/>
      </w:r>
    </w:p>
    <w:p>
      <w:pPr>
        <w:pBdr>
          <w:bottom w:val="single" w:color="4A3B8C" w:sz="4"/>
        </w:pBdr>
        <w:spacing w:before="260" w:after="100"/>
      </w:pPr>
      <w:r>
        <w:rPr>
          <w:rFonts w:ascii="Arial" w:cs="Arial" w:eastAsia="Arial" w:hAnsi="Arial"/>
          <w:b/>
          <w:bCs/>
          <w:color w:val="4A3B8C"/>
          <w:sz w:val="24"/>
          <w:szCs w:val="24"/>
        </w:rPr>
        <w:t xml:space="preserve">6. Archivage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before="80" w:after="80"/>
              <w:jc w:val="left"/>
            </w:pPr>
            <w:r>
              <w:rPr>
                <w:rFonts w:ascii="Arial" w:cs="Arial" w:eastAsia="Arial" w:hAnsi="Arial"/>
                <w:b/>
                <w:bCs/>
                <w:i w:val="false"/>
                <w:iCs w:val="false"/>
                <w:color w:val="555555"/>
                <w:sz w:val="19"/>
                <w:szCs w:val="19"/>
              </w:rPr>
              <w:t xml:space="preserve">Documents archivés</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vAlign w:val="top"/>
          </w:tcPr>
          <w:p>
            <w:pPr>
              <w:spacing w:before="80" w:after="80"/>
              <w:jc w:val="left"/>
            </w:pPr>
            <w:r>
              <w:rPr>
                <w:rFonts w:ascii="Arial" w:cs="Arial" w:eastAsia="Arial" w:hAnsi="Arial"/>
                <w:b w:val="false"/>
                <w:bCs w:val="false"/>
                <w:i w:val="false"/>
                <w:iCs w:val="false"/>
                <w:color w:val="000000"/>
                <w:sz w:val="19"/>
                <w:szCs w:val="19"/>
              </w:rPr>
              <w:t xml:space="preserve">ART-RB-001 + ART-POS-001 (test complété + grille correction) + ART-EP-001</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before="80" w:after="80"/>
              <w:jc w:val="left"/>
            </w:pPr>
            <w:r>
              <w:rPr>
                <w:rFonts w:ascii="Arial" w:cs="Arial" w:eastAsia="Arial" w:hAnsi="Arial"/>
                <w:b/>
                <w:bCs/>
                <w:i w:val="false"/>
                <w:iCs w:val="false"/>
                <w:color w:val="555555"/>
                <w:sz w:val="19"/>
                <w:szCs w:val="19"/>
              </w:rPr>
              <w:t xml:space="preserve">Format</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vAlign w:val="top"/>
          </w:tcPr>
          <w:p>
            <w:pPr>
              <w:spacing w:before="80" w:after="80"/>
              <w:jc w:val="left"/>
            </w:pPr>
            <w:r>
              <w:rPr>
                <w:rFonts w:ascii="Arial" w:cs="Arial" w:eastAsia="Arial" w:hAnsi="Arial"/>
                <w:b w:val="false"/>
                <w:bCs w:val="false"/>
                <w:i w:val="false"/>
                <w:iCs w:val="false"/>
                <w:color w:val="000000"/>
                <w:sz w:val="19"/>
                <w:szCs w:val="19"/>
              </w:rPr>
              <w:t xml:space="preserve">Papier ou numérique (PDF signé)</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before="80" w:after="80"/>
              <w:jc w:val="left"/>
            </w:pPr>
            <w:r>
              <w:rPr>
                <w:rFonts w:ascii="Arial" w:cs="Arial" w:eastAsia="Arial" w:hAnsi="Arial"/>
                <w:b/>
                <w:bCs/>
                <w:i w:val="false"/>
                <w:iCs w:val="false"/>
                <w:color w:val="555555"/>
                <w:sz w:val="19"/>
                <w:szCs w:val="19"/>
              </w:rPr>
              <w:t xml:space="preserve">Durée de conservation</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vAlign w:val="top"/>
          </w:tcPr>
          <w:p>
            <w:pPr>
              <w:spacing w:before="80" w:after="80"/>
              <w:jc w:val="left"/>
            </w:pPr>
            <w:r>
              <w:rPr>
                <w:rFonts w:ascii="Arial" w:cs="Arial" w:eastAsia="Arial" w:hAnsi="Arial"/>
                <w:b w:val="false"/>
                <w:bCs w:val="false"/>
                <w:i w:val="false"/>
                <w:iCs w:val="false"/>
                <w:color w:val="000000"/>
                <w:sz w:val="19"/>
                <w:szCs w:val="19"/>
              </w:rPr>
              <w:t xml:space="preserve">5 ans à compter de la fin de la formation</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before="80" w:after="80"/>
              <w:jc w:val="left"/>
            </w:pPr>
            <w:r>
              <w:rPr>
                <w:rFonts w:ascii="Arial" w:cs="Arial" w:eastAsia="Arial" w:hAnsi="Arial"/>
                <w:b/>
                <w:bCs/>
                <w:i w:val="false"/>
                <w:iCs w:val="false"/>
                <w:color w:val="555555"/>
                <w:sz w:val="19"/>
                <w:szCs w:val="19"/>
              </w:rPr>
              <w:t xml:space="preserve">Accès</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vAlign w:val="top"/>
          </w:tcPr>
          <w:p>
            <w:pPr>
              <w:spacing w:before="80" w:after="80"/>
              <w:jc w:val="left"/>
            </w:pPr>
            <w:r>
              <w:rPr>
                <w:rFonts w:ascii="Arial" w:cs="Arial" w:eastAsia="Arial" w:hAnsi="Arial"/>
                <w:b w:val="false"/>
                <w:bCs w:val="false"/>
                <w:i w:val="false"/>
                <w:iCs w:val="false"/>
                <w:color w:val="000000"/>
                <w:sz w:val="19"/>
                <w:szCs w:val="19"/>
              </w:rPr>
              <w:t xml:space="preserve">Dossier individuel stagiaire — accessible à l'auditeur sur demande</w:t>
            </w:r>
          </w:p>
        </w:tc>
      </w:tr>
    </w:tbl>
    <w:p>
      <w:pPr>
        <w:spacing w:before="100" w:after="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E3C" w:sz="6"/>
              <w:left w:val="single" w:color="CCCCCC" w:sz="1"/>
              <w:bottom w:val="single" w:color="CCCCCC" w:sz="1"/>
              <w:right w:val="single" w:color="CCCCCC" w:sz="1"/>
            </w:tcBorders>
            <w:shd w:fill="E6F4EC" w:val="clear"/>
            <w:tcMar>
              <w:top w:type="dxa" w:w="120"/>
              <w:left w:type="dxa" w:w="200"/>
              <w:bottom w:type="dxa" w:w="120"/>
              <w:right w:type="dxa" w:w="200"/>
            </w:tcMar>
          </w:tcPr>
          <w:p>
            <w:pPr>
              <w:spacing w:before="80" w:after="80"/>
              <w:jc w:val="left"/>
            </w:pPr>
            <w:r>
              <w:rPr>
                <w:rFonts w:ascii="Arial" w:cs="Arial" w:eastAsia="Arial" w:hAnsi="Arial"/>
                <w:b w:val="false"/>
                <w:bCs w:val="false"/>
                <w:i/>
                <w:iCs/>
                <w:color w:val="555555"/>
                <w:sz w:val="19"/>
                <w:szCs w:val="19"/>
              </w:rPr>
              <w:t xml:space="preserve">Cette procédure constitue la preuve formelle de l'indicateur 8 du RNQ (SUPER INDICATEUR). Elle démontre que le positionnement n'est pas un simple formulaire mais un processus structuré, traçable, et exploité pour adapter la formation à chaque bénéficiaire.</w:t>
            </w:r>
          </w:p>
        </w:tc>
      </w:tr>
    </w:tbl>
    <w:sectPr>
      <w:footerReference w:type="default" r:id="rId6"/>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3B8C" w:sz="2"/>
      </w:pBdr>
      <w:spacing w:before="80"/>
      <w:jc w:val="center"/>
    </w:pPr>
    <w:r>
      <w:rPr>
        <w:rFonts w:ascii="Arial" w:cs="Arial" w:eastAsia="Arial" w:hAnsi="Arial"/>
        <w:color w:val="555555"/>
        <w:sz w:val="16"/>
        <w:szCs w:val="16"/>
      </w:rPr>
      <w:t xml:space="preserve">Artémis Prépa — contact@artemis-prepa.fr — artemis-prepa.fr  |  Procédure de positionnement — Réf. ART-PROC-POS-001 — Indicateur 8 RNQ · SUPER INDICATEUR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00"/>
      </w:pPr>
    </w:lvl>
  </w:abstractNum>
  <w:abstractNum w:abstractNumId="3"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2026-03-24T11:31:13.243Z</dcterms:created>
  <dcterms:modified xsi:type="dcterms:W3CDTF">2026-03-24T11:31:13.243Z</dcterms:modified>
</cp:coreProperties>
</file>

<file path=docProps/custom.xml><?xml version="1.0" encoding="utf-8"?>
<Properties xmlns="http://schemas.openxmlformats.org/officeDocument/2006/custom-properties" xmlns:vt="http://schemas.openxmlformats.org/officeDocument/2006/docPropsVTypes"/>
</file>