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3B8C" w:val="clear"/>
            <w:tcMar>
              <w:top w:type="dxa" w:w="280"/>
              <w:left w:type="dxa" w:w="300"/>
              <w:bottom w:type="dxa" w:w="280"/>
              <w:right w:type="dxa" w:w="300"/>
            </w:tcMar>
          </w:tcPr>
          <w:p>
            <w:pPr>
              <w:jc w:val="center"/>
            </w:pPr>
            <w:r>
              <w:rPr>
                <w:rFonts w:ascii="Arial" w:cs="Arial" w:eastAsia="Arial" w:hAnsi="Arial"/>
                <w:b/>
                <w:bCs/>
                <w:color w:val="FFFFFF"/>
                <w:sz w:val="36"/>
                <w:szCs w:val="36"/>
              </w:rPr>
              <w:t xml:space="preserve">ARTÉMIS PRÉPA</w:t>
            </w:r>
          </w:p>
          <w:p>
            <w:pPr>
              <w:spacing w:before="40"/>
              <w:jc w:val="center"/>
            </w:pPr>
            <w:r>
              <w:rPr>
                <w:rFonts w:ascii="Arial" w:cs="Arial" w:eastAsia="Arial" w:hAnsi="Arial"/>
                <w:b/>
                <w:bCs/>
                <w:color w:val="FFFFFF"/>
                <w:sz w:val="26"/>
                <w:szCs w:val="26"/>
              </w:rPr>
              <w:t xml:space="preserve">CONDITIONS GÉNÉRALES DE VENTE</w:t>
            </w:r>
          </w:p>
          <w:p>
            <w:pPr>
              <w:spacing w:before="40"/>
              <w:jc w:val="center"/>
            </w:pPr>
            <w:r>
              <w:rPr>
                <w:rFonts w:ascii="Arial" w:cs="Arial" w:eastAsia="Arial" w:hAnsi="Arial"/>
                <w:i/>
                <w:iCs/>
                <w:color w:val="D4CCEE"/>
                <w:sz w:val="18"/>
                <w:szCs w:val="18"/>
              </w:rPr>
              <w:t xml:space="preserve">Prestations de formation professionnelle continue</w:t>
            </w:r>
          </w:p>
        </w:tc>
      </w:tr>
    </w:tbl>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Raison sociale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Artémis Prépa</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Forme juridique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[À compléter — SASU / Auto-entrepreneur…]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SIRET</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[À compléter]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NDA</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[À compléter après déclaration DREETS]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Responsable</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Camille Chapuis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Email</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contact@artemis-prepa.fr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Site web</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artemis-prepa.fr</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vAlign w:val="top"/>
          </w:tcPr>
          <w:p>
            <w:pPr>
              <w:spacing w:before="80" w:after="80"/>
              <w:jc w:val="left"/>
            </w:pPr>
            <w:r>
              <w:rPr>
                <w:rFonts w:ascii="Arial" w:cs="Arial" w:eastAsia="Arial" w:hAnsi="Arial"/>
                <w:b/>
                <w:bCs/>
                <w:i w:val="false"/>
                <w:iCs w:val="false"/>
                <w:color w:val="555555"/>
                <w:sz w:val="19"/>
                <w:szCs w:val="19"/>
              </w:rPr>
              <w:t xml:space="preserve">Date d'entrée en vigueur</w:t>
            </w:r>
          </w:p>
        </w:tc>
        <w:tc>
          <w:tcPr>
            <w:tcW w:type="dxa" w:w="6360"/>
            <w:tcBorders>
              <w:top w:val="single" w:color="CCCCCC" w:sz="1"/>
              <w:left w:val="single" w:color="CCCCCC" w:sz="1"/>
              <w:bottom w:val="single" w:color="CCCCCC" w:sz="1"/>
              <w:right w:val="single" w:color="CCCCCC" w:sz="1"/>
            </w:tcBorders>
            <w:tcMar>
              <w:top w:type="dxa" w:w="100"/>
              <w:left w:type="dxa" w:w="160"/>
              <w:bottom w:type="dxa" w:w="100"/>
              <w:right w:type="dxa" w:w="160"/>
            </w:tcMar>
            <w:vAlign w:val="top"/>
          </w:tcPr>
          <w:p>
            <w:pPr>
              <w:spacing w:before="80" w:after="80"/>
              <w:jc w:val="left"/>
            </w:pPr>
            <w:r>
              <w:rPr>
                <w:rFonts w:ascii="Arial" w:cs="Arial" w:eastAsia="Arial" w:hAnsi="Arial"/>
                <w:b w:val="false"/>
                <w:bCs w:val="false"/>
                <w:i w:val="false"/>
                <w:iCs w:val="false"/>
                <w:color w:val="000000"/>
                <w:sz w:val="19"/>
                <w:szCs w:val="19"/>
              </w:rPr>
              <w:t xml:space="preserve">[JJ/MM/AAAA]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3B8C" w:sz="6"/>
              <w:left w:val="single" w:color="CCCCCC" w:sz="1"/>
              <w:bottom w:val="single" w:color="CCCCCC" w:sz="1"/>
              <w:right w:val="single" w:color="CCCCCC" w:sz="1"/>
            </w:tcBorders>
            <w:shd w:fill="EAE7F5"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Les présentes Conditions Générales de Vente (CGV) régissent l'ensemble des prestations de formation professionnelle continue dispensées par Artémis Prépa. Toute commande implique l'acceptation sans réserve des présentes conditions.</w:t>
            </w:r>
          </w:p>
        </w:tc>
      </w:tr>
    </w:tbl>
    <w:p>
      <w:pPr>
        <w:pBdr>
          <w:bottom w:val="single" w:color="4A3B8C" w:sz="4"/>
        </w:pBdr>
        <w:spacing w:before="260" w:after="100"/>
      </w:pPr>
      <w:r>
        <w:rPr>
          <w:rFonts w:ascii="Arial" w:cs="Arial" w:eastAsia="Arial" w:hAnsi="Arial"/>
          <w:b/>
          <w:bCs/>
          <w:color w:val="4A3B8C"/>
          <w:sz w:val="24"/>
          <w:szCs w:val="24"/>
        </w:rPr>
        <w:t xml:space="preserve">Article 1 — Objet et champ d'application</w:t>
      </w:r>
    </w:p>
    <w:p>
      <w:pPr>
        <w:spacing w:before="80" w:after="80"/>
        <w:jc w:val="left"/>
      </w:pPr>
      <w:r>
        <w:rPr>
          <w:rFonts w:ascii="Arial" w:cs="Arial" w:eastAsia="Arial" w:hAnsi="Arial"/>
          <w:b w:val="false"/>
          <w:bCs w:val="false"/>
          <w:i w:val="false"/>
          <w:iCs w:val="false"/>
          <w:color w:val="000000"/>
          <w:sz w:val="20"/>
          <w:szCs w:val="20"/>
        </w:rPr>
        <w:t xml:space="preserve">Artémis Prépa est un organisme de formation proposant des actions de formation professionnelle continue au sens de l'article L. 6313-1 du Code du travail. Les présentes CGV s'appliquent à toute personne physique ou morale (ci-après « le Client » ou le « Stagiaire ») souscrivant à une prestation de formation auprès d'Artémis Prépa.</w:t>
      </w:r>
    </w:p>
    <w:p>
      <w:pPr>
        <w:spacing w:before="80" w:after="80"/>
        <w:jc w:val="left"/>
      </w:pPr>
      <w:r>
        <w:rPr>
          <w:rFonts w:ascii="Arial" w:cs="Arial" w:eastAsia="Arial" w:hAnsi="Arial"/>
          <w:b w:val="false"/>
          <w:bCs w:val="false"/>
          <w:i w:val="false"/>
          <w:iCs w:val="false"/>
          <w:color w:val="000000"/>
          <w:sz w:val="20"/>
          <w:szCs w:val="20"/>
        </w:rPr>
        <w:t xml:space="preserve">Artémis Prépa se réserve le droit de modifier les présentes CGV à tout moment. Les CGV applicables sont celles en vigueur à la date de la commande.</w:t>
      </w:r>
    </w:p>
    <w:p>
      <w:pPr>
        <w:pBdr>
          <w:bottom w:val="single" w:color="4A3B8C" w:sz="4"/>
        </w:pBdr>
        <w:spacing w:before="260" w:after="100"/>
      </w:pPr>
      <w:r>
        <w:rPr>
          <w:rFonts w:ascii="Arial" w:cs="Arial" w:eastAsia="Arial" w:hAnsi="Arial"/>
          <w:b/>
          <w:bCs/>
          <w:color w:val="4A3B8C"/>
          <w:sz w:val="24"/>
          <w:szCs w:val="24"/>
        </w:rPr>
        <w:t xml:space="preserve">Article 2 — Offre de formation et information précontractuelle</w:t>
      </w:r>
    </w:p>
    <w:p>
      <w:pPr>
        <w:spacing w:before="80" w:after="80"/>
        <w:jc w:val="left"/>
      </w:pPr>
      <w:r>
        <w:rPr>
          <w:rFonts w:ascii="Arial" w:cs="Arial" w:eastAsia="Arial" w:hAnsi="Arial"/>
          <w:b w:val="false"/>
          <w:bCs w:val="false"/>
          <w:i w:val="false"/>
          <w:iCs w:val="false"/>
          <w:color w:val="000000"/>
          <w:sz w:val="20"/>
          <w:szCs w:val="20"/>
        </w:rPr>
        <w:t xml:space="preserve">Conformément au Référentiel National Qualité (RNQ), Artémis Prépa s'engage à communiquer, préalablement à toute contractualisation, une information complète et actualisée comprenant :</w:t>
      </w:r>
    </w:p>
    <w:p>
      <w:pPr>
        <w:pStyle w:val="ListParagraph"/>
        <w:numPr>
          <w:ilvl w:val="0"/>
          <w:numId w:val="2"/>
        </w:numPr>
        <w:spacing w:before="50" w:after="50"/>
      </w:pPr>
      <w:r>
        <w:rPr>
          <w:rFonts w:ascii="Arial" w:cs="Arial" w:eastAsia="Arial" w:hAnsi="Arial"/>
          <w:b w:val="false"/>
          <w:bCs w:val="false"/>
          <w:color w:val="000000"/>
          <w:sz w:val="20"/>
          <w:szCs w:val="20"/>
        </w:rPr>
        <w:t xml:space="preserve">Les objectifs pédagogiques opérationnels et évaluables de chaque formation</w:t>
      </w:r>
    </w:p>
    <w:p>
      <w:pPr>
        <w:pStyle w:val="ListParagraph"/>
        <w:numPr>
          <w:ilvl w:val="0"/>
          <w:numId w:val="2"/>
        </w:numPr>
        <w:spacing w:before="50" w:after="50"/>
      </w:pPr>
      <w:r>
        <w:rPr>
          <w:rFonts w:ascii="Arial" w:cs="Arial" w:eastAsia="Arial" w:hAnsi="Arial"/>
          <w:b w:val="false"/>
          <w:bCs w:val="false"/>
          <w:color w:val="000000"/>
          <w:sz w:val="20"/>
          <w:szCs w:val="20"/>
        </w:rPr>
        <w:t xml:space="preserve">Le programme détaillé, la durée, les modalités pédagogiques et d'évaluation</w:t>
      </w:r>
    </w:p>
    <w:p>
      <w:pPr>
        <w:pStyle w:val="ListParagraph"/>
        <w:numPr>
          <w:ilvl w:val="0"/>
          <w:numId w:val="2"/>
        </w:numPr>
        <w:spacing w:before="50" w:after="50"/>
      </w:pPr>
      <w:r>
        <w:rPr>
          <w:rFonts w:ascii="Arial" w:cs="Arial" w:eastAsia="Arial" w:hAnsi="Arial"/>
          <w:b w:val="false"/>
          <w:bCs w:val="false"/>
          <w:color w:val="000000"/>
          <w:sz w:val="20"/>
          <w:szCs w:val="20"/>
        </w:rPr>
        <w:t xml:space="preserve">Les prérequis d'accès, les délais d'accès et les tarifs TTC</w:t>
      </w:r>
    </w:p>
    <w:p>
      <w:pPr>
        <w:pStyle w:val="ListParagraph"/>
        <w:numPr>
          <w:ilvl w:val="0"/>
          <w:numId w:val="2"/>
        </w:numPr>
        <w:spacing w:before="50" w:after="50"/>
      </w:pPr>
      <w:r>
        <w:rPr>
          <w:rFonts w:ascii="Arial" w:cs="Arial" w:eastAsia="Arial" w:hAnsi="Arial"/>
          <w:b w:val="false"/>
          <w:bCs w:val="false"/>
          <w:color w:val="000000"/>
          <w:sz w:val="20"/>
          <w:szCs w:val="20"/>
        </w:rPr>
        <w:t xml:space="preserve">Les modalités d'accès pour les personnes en situation de handicap</w:t>
      </w:r>
    </w:p>
    <w:p>
      <w:pPr>
        <w:pStyle w:val="ListParagraph"/>
        <w:numPr>
          <w:ilvl w:val="0"/>
          <w:numId w:val="2"/>
        </w:numPr>
        <w:spacing w:before="50" w:after="50"/>
      </w:pPr>
      <w:r>
        <w:rPr>
          <w:rFonts w:ascii="Arial" w:cs="Arial" w:eastAsia="Arial" w:hAnsi="Arial"/>
          <w:b w:val="false"/>
          <w:bCs w:val="false"/>
          <w:color w:val="000000"/>
          <w:sz w:val="20"/>
          <w:szCs w:val="20"/>
        </w:rPr>
        <w:t xml:space="preserve">Les indicateurs de résultats des sessions précédentes (dès la 2e session)</w:t>
      </w:r>
    </w:p>
    <w:p>
      <w:pPr>
        <w:spacing w:before="80" w:after="80"/>
        <w:jc w:val="left"/>
      </w:pPr>
      <w:r>
        <w:rPr>
          <w:rFonts w:ascii="Arial" w:cs="Arial" w:eastAsia="Arial" w:hAnsi="Arial"/>
          <w:b w:val="false"/>
          <w:bCs w:val="false"/>
          <w:i w:val="false"/>
          <w:iCs w:val="false"/>
          <w:color w:val="000000"/>
          <w:sz w:val="20"/>
          <w:szCs w:val="20"/>
        </w:rPr>
        <w:t xml:space="preserve">Ces informations sont disponibles sur artemis-prepa.fr et/ou transmises par email sur simple demande.</w:t>
      </w:r>
    </w:p>
    <w:p>
      <w:pPr>
        <w:pBdr>
          <w:bottom w:val="single" w:color="4A3B8C" w:sz="4"/>
        </w:pBdr>
        <w:spacing w:before="260" w:after="100"/>
      </w:pPr>
      <w:r>
        <w:rPr>
          <w:rFonts w:ascii="Arial" w:cs="Arial" w:eastAsia="Arial" w:hAnsi="Arial"/>
          <w:b/>
          <w:bCs/>
          <w:color w:val="4A3B8C"/>
          <w:sz w:val="24"/>
          <w:szCs w:val="24"/>
        </w:rPr>
        <w:t xml:space="preserve">Article 3 — Modalités d'inscription et délais d'accès</w:t>
      </w:r>
    </w:p>
    <w:p>
      <w:pPr>
        <w:spacing w:before="160" w:after="60"/>
        <w:jc w:val="left"/>
      </w:pPr>
      <w:r>
        <w:rPr>
          <w:rFonts w:ascii="Arial" w:cs="Arial" w:eastAsia="Arial" w:hAnsi="Arial"/>
          <w:b/>
          <w:bCs/>
          <w:i w:val="false"/>
          <w:iCs w:val="false"/>
          <w:color w:val="4A3B8C"/>
          <w:sz w:val="20"/>
          <w:szCs w:val="20"/>
        </w:rPr>
        <w:t xml:space="preserve">3.1 Processus d'inscription</w:t>
      </w:r>
    </w:p>
    <w:p>
      <w:pPr>
        <w:spacing w:before="80" w:after="80"/>
        <w:jc w:val="left"/>
      </w:pPr>
      <w:r>
        <w:rPr>
          <w:rFonts w:ascii="Arial" w:cs="Arial" w:eastAsia="Arial" w:hAnsi="Arial"/>
          <w:b w:val="false"/>
          <w:bCs w:val="false"/>
          <w:i w:val="false"/>
          <w:iCs w:val="false"/>
          <w:color w:val="000000"/>
          <w:sz w:val="20"/>
          <w:szCs w:val="20"/>
        </w:rPr>
        <w:t xml:space="preserve">L'inscription s'effectue par l'un des moyens suivants :</w:t>
      </w:r>
    </w:p>
    <w:p>
      <w:pPr>
        <w:pStyle w:val="ListParagraph"/>
        <w:numPr>
          <w:ilvl w:val="0"/>
          <w:numId w:val="2"/>
        </w:numPr>
        <w:spacing w:before="50" w:after="50"/>
      </w:pPr>
      <w:r>
        <w:rPr>
          <w:rFonts w:ascii="Arial" w:cs="Arial" w:eastAsia="Arial" w:hAnsi="Arial"/>
          <w:b w:val="false"/>
          <w:bCs w:val="false"/>
          <w:color w:val="000000"/>
          <w:sz w:val="20"/>
          <w:szCs w:val="20"/>
        </w:rPr>
        <w:t xml:space="preserve">Formulaire en ligne sur artemis-prepa.fr</w:t>
      </w:r>
    </w:p>
    <w:p>
      <w:pPr>
        <w:pStyle w:val="ListParagraph"/>
        <w:numPr>
          <w:ilvl w:val="0"/>
          <w:numId w:val="2"/>
        </w:numPr>
        <w:spacing w:before="50" w:after="50"/>
      </w:pPr>
      <w:r>
        <w:rPr>
          <w:rFonts w:ascii="Arial" w:cs="Arial" w:eastAsia="Arial" w:hAnsi="Arial"/>
          <w:b w:val="false"/>
          <w:bCs w:val="false"/>
          <w:color w:val="000000"/>
          <w:sz w:val="20"/>
          <w:szCs w:val="20"/>
        </w:rPr>
        <w:t xml:space="preserve">Email à contact@artemis-prepa.fr</w:t>
      </w:r>
    </w:p>
    <w:p>
      <w:pPr>
        <w:pStyle w:val="ListParagraph"/>
        <w:numPr>
          <w:ilvl w:val="0"/>
          <w:numId w:val="2"/>
        </w:numPr>
        <w:spacing w:before="50" w:after="50"/>
      </w:pPr>
      <w:r>
        <w:rPr>
          <w:rFonts w:ascii="Arial" w:cs="Arial" w:eastAsia="Arial" w:hAnsi="Arial"/>
          <w:b w:val="false"/>
          <w:bCs w:val="false"/>
          <w:color w:val="000000"/>
          <w:sz w:val="20"/>
          <w:szCs w:val="20"/>
        </w:rPr>
        <w:t xml:space="preserve">Courrier postal à l'adresse de l'organisme</w:t>
      </w:r>
    </w:p>
    <w:p>
      <w:pPr>
        <w:spacing w:before="80" w:after="80"/>
        <w:jc w:val="left"/>
      </w:pPr>
      <w:r>
        <w:rPr>
          <w:rFonts w:ascii="Arial" w:cs="Arial" w:eastAsia="Arial" w:hAnsi="Arial"/>
          <w:b w:val="false"/>
          <w:bCs w:val="false"/>
          <w:i w:val="false"/>
          <w:iCs w:val="false"/>
          <w:color w:val="000000"/>
          <w:sz w:val="20"/>
          <w:szCs w:val="20"/>
        </w:rPr>
        <w:t xml:space="preserve">L'inscription est définitive à réception du bulletin d'inscription signé et du règlement ou de la confirmation de prise en charge (OPCO, France Travail, CPF).</w:t>
      </w:r>
    </w:p>
    <w:p>
      <w:pPr>
        <w:spacing w:before="160" w:after="60"/>
        <w:jc w:val="left"/>
      </w:pPr>
      <w:r>
        <w:rPr>
          <w:rFonts w:ascii="Arial" w:cs="Arial" w:eastAsia="Arial" w:hAnsi="Arial"/>
          <w:b/>
          <w:bCs/>
          <w:i w:val="false"/>
          <w:iCs w:val="false"/>
          <w:color w:val="4A3B8C"/>
          <w:sz w:val="20"/>
          <w:szCs w:val="20"/>
        </w:rPr>
        <w:t xml:space="preserve">3.2 Délai d'accès</w:t>
      </w:r>
    </w:p>
    <w:p>
      <w:pPr>
        <w:spacing w:before="80" w:after="80"/>
        <w:jc w:val="left"/>
      </w:pPr>
      <w:r>
        <w:rPr>
          <w:rFonts w:ascii="Arial" w:cs="Arial" w:eastAsia="Arial" w:hAnsi="Arial"/>
          <w:b w:val="false"/>
          <w:bCs w:val="false"/>
          <w:i w:val="false"/>
          <w:iCs w:val="false"/>
          <w:color w:val="000000"/>
          <w:sz w:val="20"/>
          <w:szCs w:val="20"/>
        </w:rPr>
        <w:t xml:space="preserve">Le délai moyen entre la réception du dossier complet et le début de la formation est compris entre 15 jours et 4 semaines, selon les disponibilités de sessions. Ce délai peut être réduit en cas d'urgence justifiée, sous réserve de places disponibles.</w:t>
      </w:r>
    </w:p>
    <w:p>
      <w:pPr>
        <w:spacing w:before="160" w:after="60"/>
        <w:jc w:val="left"/>
      </w:pPr>
      <w:r>
        <w:rPr>
          <w:rFonts w:ascii="Arial" w:cs="Arial" w:eastAsia="Arial" w:hAnsi="Arial"/>
          <w:b/>
          <w:bCs/>
          <w:i w:val="false"/>
          <w:iCs w:val="false"/>
          <w:color w:val="4A3B8C"/>
          <w:sz w:val="20"/>
          <w:szCs w:val="20"/>
        </w:rPr>
        <w:t xml:space="preserve">3.3 Convention de formation</w:t>
      </w:r>
    </w:p>
    <w:p>
      <w:pPr>
        <w:spacing w:before="80" w:after="80"/>
        <w:jc w:val="left"/>
      </w:pPr>
      <w:r>
        <w:rPr>
          <w:rFonts w:ascii="Arial" w:cs="Arial" w:eastAsia="Arial" w:hAnsi="Arial"/>
          <w:b w:val="false"/>
          <w:bCs w:val="false"/>
          <w:i w:val="false"/>
          <w:iCs w:val="false"/>
          <w:color w:val="000000"/>
          <w:sz w:val="20"/>
          <w:szCs w:val="20"/>
        </w:rPr>
        <w:t xml:space="preserve">Conformément à l'article L. 6353-2 du Code du travail, une convention de formation est établie et adressée au Client en deux exemplaires. Le retour d'un exemplaire signé conditionne la confirmation de l'inscription.</w:t>
      </w:r>
    </w:p>
    <w:p>
      <w:pPr>
        <w:pBdr>
          <w:bottom w:val="single" w:color="4A3B8C" w:sz="4"/>
        </w:pBdr>
        <w:spacing w:before="260" w:after="100"/>
      </w:pPr>
      <w:r>
        <w:rPr>
          <w:rFonts w:ascii="Arial" w:cs="Arial" w:eastAsia="Arial" w:hAnsi="Arial"/>
          <w:b/>
          <w:bCs/>
          <w:color w:val="4A3B8C"/>
          <w:sz w:val="24"/>
          <w:szCs w:val="24"/>
        </w:rPr>
        <w:t xml:space="preserve">Article 4 — Tarifs et modalités de paiement</w:t>
      </w:r>
    </w:p>
    <w:p>
      <w:pPr>
        <w:spacing w:before="160" w:after="60"/>
        <w:jc w:val="left"/>
      </w:pPr>
      <w:r>
        <w:rPr>
          <w:rFonts w:ascii="Arial" w:cs="Arial" w:eastAsia="Arial" w:hAnsi="Arial"/>
          <w:b/>
          <w:bCs/>
          <w:i w:val="false"/>
          <w:iCs w:val="false"/>
          <w:color w:val="4A3B8C"/>
          <w:sz w:val="20"/>
          <w:szCs w:val="20"/>
        </w:rPr>
        <w:t xml:space="preserve">4.1 Tarifs</w:t>
      </w:r>
    </w:p>
    <w:p>
      <w:pPr>
        <w:spacing w:before="80" w:after="80"/>
        <w:jc w:val="left"/>
      </w:pPr>
      <w:r>
        <w:rPr>
          <w:rFonts w:ascii="Arial" w:cs="Arial" w:eastAsia="Arial" w:hAnsi="Arial"/>
          <w:b w:val="false"/>
          <w:bCs w:val="false"/>
          <w:i w:val="false"/>
          <w:iCs w:val="false"/>
          <w:color w:val="000000"/>
          <w:sz w:val="20"/>
          <w:szCs w:val="20"/>
        </w:rPr>
        <w:t xml:space="preserve">Les tarifs sont exprimés en euros TTC (Artémis Prépa étant, selon son statut, exonéré de TVA au titre de l'article 261-4-4° du CGI pour les prestations de formation professionnelle continue — à vérifier selon forme juridique retenue). Les tarifs en vigueur sont ceux figurant dans le programme transmis au moment de l'inscription.</w:t>
      </w:r>
    </w:p>
    <w:p>
      <w:pPr>
        <w:spacing w:before="160" w:after="60"/>
        <w:jc w:val="left"/>
      </w:pPr>
      <w:r>
        <w:rPr>
          <w:rFonts w:ascii="Arial" w:cs="Arial" w:eastAsia="Arial" w:hAnsi="Arial"/>
          <w:b/>
          <w:bCs/>
          <w:i w:val="false"/>
          <w:iCs w:val="false"/>
          <w:color w:val="4A3B8C"/>
          <w:sz w:val="20"/>
          <w:szCs w:val="20"/>
        </w:rPr>
        <w:t xml:space="preserve">4.2 Modalités de paiement</w:t>
      </w:r>
    </w:p>
    <w:p>
      <w:pPr>
        <w:spacing w:before="80" w:after="80"/>
        <w:jc w:val="left"/>
      </w:pPr>
      <w:r>
        <w:rPr>
          <w:rFonts w:ascii="Arial" w:cs="Arial" w:eastAsia="Arial" w:hAnsi="Arial"/>
          <w:b w:val="false"/>
          <w:bCs w:val="false"/>
          <w:i w:val="false"/>
          <w:iCs w:val="false"/>
          <w:color w:val="000000"/>
          <w:sz w:val="20"/>
          <w:szCs w:val="20"/>
        </w:rPr>
        <w:t xml:space="preserve">Le paiement peut être effectué par :</w:t>
      </w:r>
    </w:p>
    <w:p>
      <w:pPr>
        <w:pStyle w:val="ListParagraph"/>
        <w:numPr>
          <w:ilvl w:val="0"/>
          <w:numId w:val="2"/>
        </w:numPr>
        <w:spacing w:before="50" w:after="50"/>
      </w:pPr>
      <w:r>
        <w:rPr>
          <w:rFonts w:ascii="Arial" w:cs="Arial" w:eastAsia="Arial" w:hAnsi="Arial"/>
          <w:b w:val="false"/>
          <w:bCs w:val="false"/>
          <w:color w:val="000000"/>
          <w:sz w:val="20"/>
          <w:szCs w:val="20"/>
        </w:rPr>
        <w:t xml:space="preserve">Virement bancaire (coordonnées communiquées sur facture)</w:t>
      </w:r>
    </w:p>
    <w:p>
      <w:pPr>
        <w:pStyle w:val="ListParagraph"/>
        <w:numPr>
          <w:ilvl w:val="0"/>
          <w:numId w:val="2"/>
        </w:numPr>
        <w:spacing w:before="50" w:after="50"/>
      </w:pPr>
      <w:r>
        <w:rPr>
          <w:rFonts w:ascii="Arial" w:cs="Arial" w:eastAsia="Arial" w:hAnsi="Arial"/>
          <w:b w:val="false"/>
          <w:bCs w:val="false"/>
          <w:color w:val="000000"/>
          <w:sz w:val="20"/>
          <w:szCs w:val="20"/>
        </w:rPr>
        <w:t xml:space="preserve">Chèque libellé à l'ordre d'Artémis Prépa</w:t>
      </w:r>
    </w:p>
    <w:p>
      <w:pPr>
        <w:pStyle w:val="ListParagraph"/>
        <w:numPr>
          <w:ilvl w:val="0"/>
          <w:numId w:val="2"/>
        </w:numPr>
        <w:spacing w:before="50" w:after="50"/>
      </w:pPr>
      <w:r>
        <w:rPr>
          <w:rFonts w:ascii="Arial" w:cs="Arial" w:eastAsia="Arial" w:hAnsi="Arial"/>
          <w:b w:val="false"/>
          <w:bCs w:val="false"/>
          <w:color w:val="000000"/>
          <w:sz w:val="20"/>
          <w:szCs w:val="20"/>
        </w:rPr>
        <w:t xml:space="preserve">Prise en charge par OPCO (accord de prise en charge à fournir avant le début de la formation)</w:t>
      </w:r>
    </w:p>
    <w:p>
      <w:pPr>
        <w:pStyle w:val="ListParagraph"/>
        <w:numPr>
          <w:ilvl w:val="0"/>
          <w:numId w:val="2"/>
        </w:numPr>
        <w:spacing w:before="50" w:after="50"/>
      </w:pPr>
      <w:r>
        <w:rPr>
          <w:rFonts w:ascii="Arial" w:cs="Arial" w:eastAsia="Arial" w:hAnsi="Arial"/>
          <w:b w:val="false"/>
          <w:bCs w:val="false"/>
          <w:color w:val="000000"/>
          <w:sz w:val="20"/>
          <w:szCs w:val="20"/>
        </w:rPr>
        <w:t xml:space="preserve">Compte Personnel de Formation (CPF) via Mon Compte Formation</w:t>
      </w:r>
    </w:p>
    <w:p>
      <w:pPr>
        <w:pStyle w:val="ListParagraph"/>
        <w:numPr>
          <w:ilvl w:val="0"/>
          <w:numId w:val="2"/>
        </w:numPr>
        <w:spacing w:before="50" w:after="50"/>
      </w:pPr>
      <w:r>
        <w:rPr>
          <w:rFonts w:ascii="Arial" w:cs="Arial" w:eastAsia="Arial" w:hAnsi="Arial"/>
          <w:b w:val="false"/>
          <w:bCs w:val="false"/>
          <w:color w:val="000000"/>
          <w:sz w:val="20"/>
          <w:szCs w:val="20"/>
        </w:rPr>
        <w:t xml:space="preserve">Aide Individuelle à la Formation (AIF) — France Travail</w:t>
      </w:r>
    </w:p>
    <w:p>
      <w:pPr>
        <w:spacing w:before="160" w:after="60"/>
        <w:jc w:val="left"/>
      </w:pPr>
      <w:r>
        <w:rPr>
          <w:rFonts w:ascii="Arial" w:cs="Arial" w:eastAsia="Arial" w:hAnsi="Arial"/>
          <w:b/>
          <w:bCs/>
          <w:i w:val="false"/>
          <w:iCs w:val="false"/>
          <w:color w:val="4A3B8C"/>
          <w:sz w:val="20"/>
          <w:szCs w:val="20"/>
        </w:rPr>
        <w:t xml:space="preserve">4.3 Échéancier</w:t>
      </w:r>
    </w:p>
    <w:p>
      <w:pPr>
        <w:spacing w:before="80" w:after="80"/>
        <w:jc w:val="left"/>
      </w:pPr>
      <w:r>
        <w:rPr>
          <w:rFonts w:ascii="Arial" w:cs="Arial" w:eastAsia="Arial" w:hAnsi="Arial"/>
          <w:b w:val="false"/>
          <w:bCs w:val="false"/>
          <w:i w:val="false"/>
          <w:iCs w:val="false"/>
          <w:color w:val="000000"/>
          <w:sz w:val="20"/>
          <w:szCs w:val="20"/>
        </w:rPr>
        <w:t xml:space="preserve">Sauf accord particulier, le règlement est exigible selon l'échéancier suivant :</w:t>
      </w:r>
    </w:p>
    <w:p>
      <w:pPr>
        <w:pStyle w:val="ListParagraph"/>
        <w:numPr>
          <w:ilvl w:val="0"/>
          <w:numId w:val="3"/>
        </w:numPr>
        <w:spacing w:before="50" w:after="50"/>
      </w:pPr>
      <w:r>
        <w:rPr>
          <w:rFonts w:ascii="Arial" w:cs="Arial" w:eastAsia="Arial" w:hAnsi="Arial"/>
          <w:b w:val="false"/>
          <w:bCs w:val="false"/>
          <w:sz w:val="20"/>
          <w:szCs w:val="20"/>
        </w:rPr>
        <w:t xml:space="preserve">30 % à la commande (acompte)</w:t>
      </w:r>
    </w:p>
    <w:p>
      <w:pPr>
        <w:pStyle w:val="ListParagraph"/>
        <w:numPr>
          <w:ilvl w:val="0"/>
          <w:numId w:val="3"/>
        </w:numPr>
        <w:spacing w:before="50" w:after="50"/>
      </w:pPr>
      <w:r>
        <w:rPr>
          <w:rFonts w:ascii="Arial" w:cs="Arial" w:eastAsia="Arial" w:hAnsi="Arial"/>
          <w:b w:val="false"/>
          <w:bCs w:val="false"/>
          <w:sz w:val="20"/>
          <w:szCs w:val="20"/>
        </w:rPr>
        <w:t xml:space="preserve">Solde au plus tard le premier jour de la formation</w:t>
      </w:r>
    </w:p>
    <w:p>
      <w:pPr>
        <w:spacing w:before="80" w:after="80"/>
        <w:jc w:val="left"/>
      </w:pPr>
      <w:r>
        <w:rPr>
          <w:rFonts w:ascii="Arial" w:cs="Arial" w:eastAsia="Arial" w:hAnsi="Arial"/>
          <w:b w:val="false"/>
          <w:bCs w:val="false"/>
          <w:i w:val="false"/>
          <w:iCs w:val="false"/>
          <w:color w:val="000000"/>
          <w:sz w:val="20"/>
          <w:szCs w:val="20"/>
        </w:rPr>
        <w:t xml:space="preserve">En cas de prise en charge par un tiers financeur (OPCO, France Travail), aucun acompte n'est exigé du Client, sous réserve de réception de l'accord de prise en charge.</w:t>
      </w:r>
    </w:p>
    <w:p>
      <w:pPr>
        <w:spacing w:before="160" w:after="60"/>
        <w:jc w:val="left"/>
      </w:pPr>
      <w:r>
        <w:rPr>
          <w:rFonts w:ascii="Arial" w:cs="Arial" w:eastAsia="Arial" w:hAnsi="Arial"/>
          <w:b/>
          <w:bCs/>
          <w:i w:val="false"/>
          <w:iCs w:val="false"/>
          <w:color w:val="4A3B8C"/>
          <w:sz w:val="20"/>
          <w:szCs w:val="20"/>
        </w:rPr>
        <w:t xml:space="preserve">4.4 Retard de paiement</w:t>
      </w:r>
    </w:p>
    <w:p>
      <w:pPr>
        <w:spacing w:before="80" w:after="80"/>
        <w:jc w:val="left"/>
      </w:pPr>
      <w:r>
        <w:rPr>
          <w:rFonts w:ascii="Arial" w:cs="Arial" w:eastAsia="Arial" w:hAnsi="Arial"/>
          <w:b w:val="false"/>
          <w:bCs w:val="false"/>
          <w:i w:val="false"/>
          <w:iCs w:val="false"/>
          <w:color w:val="000000"/>
          <w:sz w:val="20"/>
          <w:szCs w:val="20"/>
        </w:rPr>
        <w:t xml:space="preserve">Tout retard de paiement entraîne de plein droit l'application d'intérêts de retard calculés au taux légal en vigueur, ainsi qu'une indemnité forfaitaire pour frais de recouvrement de 40 € (art. L. 441-10 C. com.).</w:t>
      </w:r>
    </w:p>
    <w:p>
      <w:pPr>
        <w:pBdr>
          <w:bottom w:val="single" w:color="4A3B8C" w:sz="4"/>
        </w:pBdr>
        <w:spacing w:before="260" w:after="100"/>
      </w:pPr>
      <w:r>
        <w:rPr>
          <w:rFonts w:ascii="Arial" w:cs="Arial" w:eastAsia="Arial" w:hAnsi="Arial"/>
          <w:b/>
          <w:bCs/>
          <w:color w:val="4A3B8C"/>
          <w:sz w:val="24"/>
          <w:szCs w:val="24"/>
        </w:rPr>
        <w:t xml:space="preserve">Article 5 — Droit de rétractation (particuliers)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5A00" w:sz="6"/>
              <w:left w:val="single" w:color="CCCCCC" w:sz="1"/>
              <w:bottom w:val="single" w:color="CCCCCC" w:sz="1"/>
              <w:right w:val="single" w:color="CCCCCC" w:sz="1"/>
            </w:tcBorders>
            <w:shd w:fill="FFF3E6"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IMPORTANT — Le droit de rétractation ne s'applique qu'aux personnes physiques contractant à titre personnel (particuliers autofinançant leur formation). Il ne s'applique pas aux entreprises ni aux formations financées via CPF.</w:t>
            </w:r>
          </w:p>
        </w:tc>
      </w:tr>
    </w:tbl>
    <w:p>
      <w:pPr>
        <w:spacing w:before="80" w:after="80"/>
        <w:jc w:val="left"/>
      </w:pPr>
      <w:r>
        <w:rPr>
          <w:rFonts w:ascii="Arial" w:cs="Arial" w:eastAsia="Arial" w:hAnsi="Arial"/>
          <w:b w:val="false"/>
          <w:bCs w:val="false"/>
          <w:i w:val="false"/>
          <w:iCs w:val="false"/>
          <w:color w:val="000000"/>
          <w:sz w:val="20"/>
          <w:szCs w:val="20"/>
        </w:rPr>
        <w:t xml:space="preserve">Conformément aux articles L. 221-18 et suivants du Code de la consommation, le Stagiaire particulier dispose d'un délai de 14 jours calendaires à compter de la signature du contrat pour exercer son droit de rétractation, sans avoir à motiver sa décision.</w:t>
      </w:r>
    </w:p>
    <w:p>
      <w:pPr>
        <w:spacing w:before="80" w:after="80"/>
        <w:jc w:val="left"/>
      </w:pPr>
      <w:r>
        <w:rPr>
          <w:rFonts w:ascii="Arial" w:cs="Arial" w:eastAsia="Arial" w:hAnsi="Arial"/>
          <w:b w:val="false"/>
          <w:bCs w:val="false"/>
          <w:i w:val="false"/>
          <w:iCs w:val="false"/>
          <w:color w:val="000000"/>
          <w:sz w:val="20"/>
          <w:szCs w:val="20"/>
        </w:rPr>
        <w:t xml:space="preserve">La rétractation s'exerce par tout moyen écrit (email, courrier) à l'adresse : contact@artemis-prepa.fr. Artémis Prépa procède au remboursement intégral des sommes versées dans un délai de 14 jours suivant la réception de la notification.</w:t>
      </w:r>
    </w:p>
    <w:p>
      <w:pPr>
        <w:spacing w:before="80" w:after="80"/>
        <w:jc w:val="left"/>
      </w:pPr>
      <w:r>
        <w:rPr>
          <w:rFonts w:ascii="Arial" w:cs="Arial" w:eastAsia="Arial" w:hAnsi="Arial"/>
          <w:b w:val="false"/>
          <w:bCs w:val="false"/>
          <w:i w:val="false"/>
          <w:iCs w:val="false"/>
          <w:color w:val="000000"/>
          <w:sz w:val="20"/>
          <w:szCs w:val="20"/>
        </w:rPr>
        <w:t xml:space="preserve">Si le Stagiaire demande expressément le début de la formation avant l'expiration du délai de rétractation, il reconnaît renoncer à son droit de rétractation pour les heures de formation déjà dispensées, lesquelles lui seront facturées prorata temporis.</w:t>
      </w:r>
    </w:p>
    <w:p>
      <w:pPr>
        <w:pBdr>
          <w:bottom w:val="single" w:color="4A3B8C" w:sz="4"/>
        </w:pBdr>
        <w:spacing w:before="260" w:after="100"/>
      </w:pPr>
      <w:r>
        <w:rPr>
          <w:rFonts w:ascii="Arial" w:cs="Arial" w:eastAsia="Arial" w:hAnsi="Arial"/>
          <w:b/>
          <w:bCs/>
          <w:color w:val="4A3B8C"/>
          <w:sz w:val="24"/>
          <w:szCs w:val="24"/>
        </w:rPr>
        <w:t xml:space="preserve">Article 6 — Annulation et report</w:t>
      </w:r>
    </w:p>
    <w:p>
      <w:pPr>
        <w:spacing w:before="160" w:after="60"/>
        <w:jc w:val="left"/>
      </w:pPr>
      <w:r>
        <w:rPr>
          <w:rFonts w:ascii="Arial" w:cs="Arial" w:eastAsia="Arial" w:hAnsi="Arial"/>
          <w:b/>
          <w:bCs/>
          <w:i w:val="false"/>
          <w:iCs w:val="false"/>
          <w:color w:val="4A3B8C"/>
          <w:sz w:val="20"/>
          <w:szCs w:val="20"/>
        </w:rPr>
        <w:t xml:space="preserve">6.1 Annulation à l'initiative du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4A3B8C" w:val="clear"/>
            <w:tcMar>
              <w:top w:type="dxa" w:w="100"/>
              <w:left w:type="dxa" w:w="160"/>
              <w:bottom w:type="dxa" w:w="100"/>
              <w:right w:type="dxa" w:w="160"/>
            </w:tcMar>
          </w:tcPr>
          <w:p>
            <w:r>
              <w:rPr>
                <w:rFonts w:ascii="Arial" w:cs="Arial" w:eastAsia="Arial" w:hAnsi="Arial"/>
                <w:b/>
                <w:bCs/>
                <w:color w:val="FFFFFF"/>
                <w:sz w:val="20"/>
                <w:szCs w:val="20"/>
              </w:rPr>
              <w:t xml:space="preserve">Délai avant le début de la formation</w:t>
            </w:r>
          </w:p>
        </w:tc>
        <w:tc>
          <w:tcPr>
            <w:tcBorders>
              <w:top w:val="single" w:color="CCCCCC" w:sz="1"/>
              <w:left w:val="single" w:color="CCCCCC" w:sz="1"/>
              <w:bottom w:val="single" w:color="CCCCCC" w:sz="1"/>
              <w:right w:val="single" w:color="CCCCCC" w:sz="1"/>
            </w:tcBorders>
            <w:shd w:fill="4A3B8C" w:val="clear"/>
            <w:tcMar>
              <w:top w:type="dxa" w:w="100"/>
              <w:left w:type="dxa" w:w="160"/>
              <w:bottom w:type="dxa" w:w="100"/>
              <w:right w:type="dxa" w:w="160"/>
            </w:tcMar>
          </w:tcPr>
          <w:p>
            <w:r>
              <w:rPr>
                <w:rFonts w:ascii="Arial" w:cs="Arial" w:eastAsia="Arial" w:hAnsi="Arial"/>
                <w:b/>
                <w:bCs/>
                <w:color w:val="FFFFFF"/>
                <w:sz w:val="20"/>
                <w:szCs w:val="20"/>
              </w:rPr>
              <w:t xml:space="preserve">Conditions</w:t>
            </w:r>
          </w:p>
        </w:tc>
      </w:tr>
      <w:tr>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Plus de 14 jours ouvrés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Remboursement intégral ou report sans frais</w:t>
            </w:r>
          </w:p>
        </w:tc>
      </w:tr>
      <w:tr>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Entre 8 et 14 jours ouvrés</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Retenue de 30 % du montant total ou report gratuit (une fois)</w:t>
            </w:r>
          </w:p>
        </w:tc>
      </w:tr>
      <w:tr>
        <w:tc>
          <w:tcPr>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Moins de 8 jours ouvrés ou absence</w:t>
            </w:r>
          </w:p>
        </w:tc>
        <w:tc>
          <w:tcPr>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spacing w:before="80" w:after="80"/>
              <w:jc w:val="left"/>
            </w:pPr>
            <w:r>
              <w:rPr>
                <w:rFonts w:ascii="Arial" w:cs="Arial" w:eastAsia="Arial" w:hAnsi="Arial"/>
                <w:b w:val="false"/>
                <w:bCs w:val="false"/>
                <w:i w:val="false"/>
                <w:iCs w:val="false"/>
                <w:color w:val="000000"/>
                <w:sz w:val="19"/>
                <w:szCs w:val="19"/>
              </w:rPr>
              <w:t xml:space="preserve">Facturation de la totalité du prix, sauf cas de force majeure justifié</w:t>
            </w:r>
          </w:p>
        </w:tc>
      </w:tr>
    </w:tbl>
    <w:p>
      <w:pPr>
        <w:spacing w:before="160" w:after="60"/>
        <w:jc w:val="left"/>
      </w:pPr>
      <w:r>
        <w:rPr>
          <w:rFonts w:ascii="Arial" w:cs="Arial" w:eastAsia="Arial" w:hAnsi="Arial"/>
          <w:b/>
          <w:bCs/>
          <w:i w:val="false"/>
          <w:iCs w:val="false"/>
          <w:color w:val="4A3B8C"/>
          <w:sz w:val="20"/>
          <w:szCs w:val="20"/>
        </w:rPr>
        <w:t xml:space="preserve">6.2 Annulation à l'initiative d'Artémis Prépa</w:t>
      </w:r>
    </w:p>
    <w:p>
      <w:pPr>
        <w:spacing w:before="80" w:after="80"/>
        <w:jc w:val="left"/>
      </w:pPr>
      <w:r>
        <w:rPr>
          <w:rFonts w:ascii="Arial" w:cs="Arial" w:eastAsia="Arial" w:hAnsi="Arial"/>
          <w:b w:val="false"/>
          <w:bCs w:val="false"/>
          <w:i w:val="false"/>
          <w:iCs w:val="false"/>
          <w:color w:val="000000"/>
          <w:sz w:val="20"/>
          <w:szCs w:val="20"/>
        </w:rPr>
        <w:t xml:space="preserve">Artémis Prépa se réserve le droit d'annuler ou de reporter une session en cas de nombre insuffisant de participants (minimum 2 pour les groupes), d'indisponibilité du formateur, ou de force majeure. Le Client en est informé au moins 10 jours ouvrés avant le début prévu. Les sommes versées sont intégralement remboursées ou reportées, au choix du Client.</w:t>
      </w:r>
    </w:p>
    <w:p>
      <w:pPr>
        <w:pBdr>
          <w:bottom w:val="single" w:color="4A3B8C" w:sz="4"/>
        </w:pBdr>
        <w:spacing w:before="260" w:after="100"/>
      </w:pPr>
      <w:r>
        <w:rPr>
          <w:rFonts w:ascii="Arial" w:cs="Arial" w:eastAsia="Arial" w:hAnsi="Arial"/>
          <w:b/>
          <w:bCs/>
          <w:color w:val="4A3B8C"/>
          <w:sz w:val="24"/>
          <w:szCs w:val="24"/>
        </w:rPr>
        <w:t xml:space="preserve">Article 7 — Modalités pédagogiques et suivi</w:t>
      </w:r>
    </w:p>
    <w:p>
      <w:pPr>
        <w:spacing w:before="80" w:after="80"/>
        <w:jc w:val="left"/>
      </w:pPr>
      <w:r>
        <w:rPr>
          <w:rFonts w:ascii="Arial" w:cs="Arial" w:eastAsia="Arial" w:hAnsi="Arial"/>
          <w:b w:val="false"/>
          <w:bCs w:val="false"/>
          <w:i w:val="false"/>
          <w:iCs w:val="false"/>
          <w:color w:val="000000"/>
          <w:sz w:val="20"/>
          <w:szCs w:val="20"/>
        </w:rPr>
        <w:t xml:space="preserve">Artémis Prépa s'engage à délivrer la formation dans les conditions décrites dans le programme remis au Client. En cas d'empêchement exceptionnel du formateur, une solution de remplacement (report de séance, formateur remplaçant qualifié) est proposée sous 48h.</w:t>
      </w:r>
    </w:p>
    <w:p>
      <w:pPr>
        <w:spacing w:before="80" w:after="80"/>
        <w:jc w:val="left"/>
      </w:pPr>
      <w:r>
        <w:rPr>
          <w:rFonts w:ascii="Arial" w:cs="Arial" w:eastAsia="Arial" w:hAnsi="Arial"/>
          <w:b w:val="false"/>
          <w:bCs w:val="false"/>
          <w:i w:val="false"/>
          <w:iCs w:val="false"/>
          <w:color w:val="000000"/>
          <w:sz w:val="20"/>
          <w:szCs w:val="20"/>
        </w:rPr>
        <w:t xml:space="preserve">Une feuille de présence est émargée par le Stagiaire à chaque demi-journée de formation. Une attestation de suivi ou de fin de formation est délivrée à l'issue de la prestation.</w:t>
      </w:r>
    </w:p>
    <w:p>
      <w:pPr>
        <w:pBdr>
          <w:bottom w:val="single" w:color="4A3B8C" w:sz="4"/>
        </w:pBdr>
        <w:spacing w:before="260" w:after="100"/>
      </w:pPr>
      <w:r>
        <w:rPr>
          <w:rFonts w:ascii="Arial" w:cs="Arial" w:eastAsia="Arial" w:hAnsi="Arial"/>
          <w:b/>
          <w:bCs/>
          <w:color w:val="4A3B8C"/>
          <w:sz w:val="24"/>
          <w:szCs w:val="24"/>
        </w:rPr>
        <w:t xml:space="preserve">Article 8 — Propriété intellectuelle</w:t>
      </w:r>
    </w:p>
    <w:p>
      <w:pPr>
        <w:spacing w:before="80" w:after="80"/>
        <w:jc w:val="left"/>
      </w:pPr>
      <w:r>
        <w:rPr>
          <w:rFonts w:ascii="Arial" w:cs="Arial" w:eastAsia="Arial" w:hAnsi="Arial"/>
          <w:b w:val="false"/>
          <w:bCs w:val="false"/>
          <w:i w:val="false"/>
          <w:iCs w:val="false"/>
          <w:color w:val="000000"/>
          <w:sz w:val="20"/>
          <w:szCs w:val="20"/>
        </w:rPr>
        <w:t xml:space="preserve">L'ensemble des supports pédagogiques remis lors de la formation (fiches, plans, annales commentées, bibliographies) sont la propriété exclusive d'Artémis Prépa. Ils sont destinés à l'usage personnel du Stagiaire et ne peuvent être reproduits, diffusés ou revendus sans autorisation écrite préalable.</w:t>
      </w:r>
    </w:p>
    <w:p>
      <w:pPr>
        <w:pBdr>
          <w:bottom w:val="single" w:color="4A3B8C" w:sz="4"/>
        </w:pBdr>
        <w:spacing w:before="260" w:after="100"/>
      </w:pPr>
      <w:r>
        <w:rPr>
          <w:rFonts w:ascii="Arial" w:cs="Arial" w:eastAsia="Arial" w:hAnsi="Arial"/>
          <w:b/>
          <w:bCs/>
          <w:color w:val="4A3B8C"/>
          <w:sz w:val="24"/>
          <w:szCs w:val="24"/>
        </w:rPr>
        <w:t xml:space="preserve">Article 9 — Protection des données personnelles (RGPD)</w:t>
      </w:r>
    </w:p>
    <w:p>
      <w:pPr>
        <w:spacing w:before="80" w:after="80"/>
        <w:jc w:val="left"/>
      </w:pPr>
      <w:r>
        <w:rPr>
          <w:rFonts w:ascii="Arial" w:cs="Arial" w:eastAsia="Arial" w:hAnsi="Arial"/>
          <w:b w:val="false"/>
          <w:bCs w:val="false"/>
          <w:i w:val="false"/>
          <w:iCs w:val="false"/>
          <w:color w:val="000000"/>
          <w:sz w:val="20"/>
          <w:szCs w:val="20"/>
        </w:rPr>
        <w:t xml:space="preserve">Les données personnelles collectées dans le cadre de l'inscription et du suivi de formation sont traitées par Artémis Prépa en qualité de responsable de traitement, sur le fondement de l'exécution du contrat de formation. Elles sont conservées 5 ans à compter de la fin de la relation contractuelle.</w:t>
      </w:r>
    </w:p>
    <w:p>
      <w:pPr>
        <w:spacing w:before="80" w:after="80"/>
        <w:jc w:val="left"/>
      </w:pPr>
      <w:r>
        <w:rPr>
          <w:rFonts w:ascii="Arial" w:cs="Arial" w:eastAsia="Arial" w:hAnsi="Arial"/>
          <w:b w:val="false"/>
          <w:bCs w:val="false"/>
          <w:i w:val="false"/>
          <w:iCs w:val="false"/>
          <w:color w:val="000000"/>
          <w:sz w:val="20"/>
          <w:szCs w:val="20"/>
        </w:rPr>
        <w:t xml:space="preserve">Conformément au RGPD et à la loi Informatique et Libertés, le Stagiaire dispose d'un droit d'accès, de rectification, d'effacement et d'opposition, à exercer à : contact@artemis-prepa.fr.</w:t>
      </w:r>
    </w:p>
    <w:p>
      <w:pPr>
        <w:pBdr>
          <w:bottom w:val="single" w:color="4A3B8C" w:sz="4"/>
        </w:pBdr>
        <w:spacing w:before="260" w:after="100"/>
      </w:pPr>
      <w:r>
        <w:rPr>
          <w:rFonts w:ascii="Arial" w:cs="Arial" w:eastAsia="Arial" w:hAnsi="Arial"/>
          <w:b/>
          <w:bCs/>
          <w:color w:val="4A3B8C"/>
          <w:sz w:val="24"/>
          <w:szCs w:val="24"/>
        </w:rPr>
        <w:t xml:space="preserve">Article 10 — Règlement des différends</w:t>
      </w:r>
    </w:p>
    <w:p>
      <w:pPr>
        <w:spacing w:before="80" w:after="80"/>
        <w:jc w:val="left"/>
      </w:pPr>
      <w:r>
        <w:rPr>
          <w:rFonts w:ascii="Arial" w:cs="Arial" w:eastAsia="Arial" w:hAnsi="Arial"/>
          <w:b w:val="false"/>
          <w:bCs w:val="false"/>
          <w:i w:val="false"/>
          <w:iCs w:val="false"/>
          <w:color w:val="000000"/>
          <w:sz w:val="20"/>
          <w:szCs w:val="20"/>
        </w:rPr>
        <w:t xml:space="preserve">En cas de litige, une solution amiable sera recherchée en priorité. À défaut d'accord, les tribunaux compétents seront ceux du ressort du siège social d'Artémis Prépa. Pour les consommateurs particuliers, conformément à l'article L. 616-1 du Code de la consommation, un recours à la médiation est possible : [À compléter — médiateur compétent].</w:t>
      </w:r>
    </w:p>
    <w:p>
      <w:pPr>
        <w:spacing w:before="100" w:after="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E3C" w:sz="6"/>
              <w:left w:val="single" w:color="CCCCCC" w:sz="1"/>
              <w:bottom w:val="single" w:color="CCCCCC" w:sz="1"/>
              <w:right w:val="single" w:color="CCCCCC" w:sz="1"/>
            </w:tcBorders>
            <w:shd w:fill="E6F4EC" w:val="clear"/>
            <w:tcMar>
              <w:top w:type="dxa" w:w="120"/>
              <w:left w:type="dxa" w:w="200"/>
              <w:bottom w:type="dxa" w:w="120"/>
              <w:right w:type="dxa" w:w="200"/>
            </w:tcMar>
          </w:tcPr>
          <w:p>
            <w:pPr>
              <w:spacing w:before="80" w:after="80"/>
              <w:jc w:val="left"/>
            </w:pPr>
            <w:r>
              <w:rPr>
                <w:rFonts w:ascii="Arial" w:cs="Arial" w:eastAsia="Arial" w:hAnsi="Arial"/>
                <w:b w:val="false"/>
                <w:bCs w:val="false"/>
                <w:i/>
                <w:iCs/>
                <w:color w:val="555555"/>
                <w:sz w:val="19"/>
                <w:szCs w:val="19"/>
              </w:rPr>
              <w:t xml:space="preserve">Document à tenir à disposition de l'auditeur Qualiopi — constitue une preuve au titre de l'indicateur 1 (modalités d'accès, tarifs, délais) et de l'indicateur 4 (contractualisation). Version actualisée à chaque modification tarifaire ou réglementaire.</w:t>
            </w:r>
          </w:p>
        </w:tc>
      </w:tr>
    </w:tbl>
    <w:sectPr>
      <w:footerReference w:type="default" r:id="rId6"/>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3B8C" w:sz="2"/>
      </w:pBdr>
      <w:spacing w:before="80"/>
      <w:jc w:val="center"/>
    </w:pPr>
    <w:r>
      <w:rPr>
        <w:rFonts w:ascii="Arial" w:cs="Arial" w:eastAsia="Arial" w:hAnsi="Arial"/>
        <w:color w:val="555555"/>
        <w:sz w:val="16"/>
        <w:szCs w:val="16"/>
      </w:rPr>
      <w:t xml:space="preserve">Artémis Prépa — contact@artemis-prepa.fr — artemis-prepa.fr  |  Conditions Générales de Vente — Réf. ART-CGV-001 — Indicateur 1 RNQ</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bullet"/>
      <w:lvlText w:val="–"/>
      <w:lvlJc w:val="left"/>
      <w:pPr>
        <w:ind w:left="500" w:hanging="30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2026-03-24T06:51:44.822Z</dcterms:created>
  <dcterms:modified xsi:type="dcterms:W3CDTF">2026-03-24T06:51:44.823Z</dcterms:modified>
</cp:coreProperties>
</file>

<file path=docProps/custom.xml><?xml version="1.0" encoding="utf-8"?>
<Properties xmlns="http://schemas.openxmlformats.org/officeDocument/2006/custom-properties" xmlns:vt="http://schemas.openxmlformats.org/officeDocument/2006/docPropsVTypes"/>
</file>