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3B8C" w:val="clear"/>
            <w:tcMar>
              <w:top w:type="dxa" w:w="280"/>
              <w:left w:type="dxa" w:w="300"/>
              <w:bottom w:type="dxa" w:w="280"/>
              <w:right w:type="dxa" w:w="300"/>
            </w:tcMar>
          </w:tcPr>
          <w:p>
            <w:pPr>
              <w:jc w:val="center"/>
            </w:pPr>
            <w:r>
              <w:rPr>
                <w:rFonts w:ascii="Arial" w:cs="Arial" w:eastAsia="Arial" w:hAnsi="Arial"/>
                <w:b/>
                <w:bCs/>
                <w:color w:val="FFFFFF"/>
                <w:sz w:val="36"/>
                <w:szCs w:val="36"/>
              </w:rPr>
              <w:t xml:space="preserve">ARTÉMIS PRÉPA</w:t>
            </w:r>
          </w:p>
          <w:p>
            <w:pPr>
              <w:spacing w:before="40"/>
              <w:jc w:val="center"/>
            </w:pPr>
            <w:r>
              <w:rPr>
                <w:rFonts w:ascii="Arial" w:cs="Arial" w:eastAsia="Arial" w:hAnsi="Arial"/>
                <w:b/>
                <w:bCs/>
                <w:color w:val="FFFFFF"/>
                <w:sz w:val="26"/>
                <w:szCs w:val="26"/>
              </w:rPr>
              <w:t xml:space="preserve">RÉFÉRENTIEL DE COMPÉTENCES ET GRILLE D'ADÉQUATION</w:t>
            </w:r>
          </w:p>
          <w:p>
            <w:pPr>
              <w:spacing w:before="40"/>
              <w:jc w:val="center"/>
            </w:pPr>
            <w:r>
              <w:rPr>
                <w:rFonts w:ascii="Arial" w:cs="Arial" w:eastAsia="Arial" w:hAnsi="Arial"/>
                <w:i/>
                <w:iCs/>
                <w:color w:val="D4CCEE"/>
                <w:sz w:val="18"/>
                <w:szCs w:val="18"/>
              </w:rPr>
              <w:t xml:space="preserve">Indicateur 21 Qualiopi — Compétences des acteurs · SUPER INDICATEUR</w:t>
            </w:r>
          </w:p>
        </w:tc>
      </w:tr>
    </w:tbl>
    <w:p>
      <w:pPr>
        <w:spacing w:before="100" w:after="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Référence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ART-COMP-001</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Version</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v1.0</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Mise à jour</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[JJ/MM/AAAA]</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Responsable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Camille Chapuis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Formateur évalué</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Camille Chapuis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3B8C" w:sz="6"/>
              <w:left w:val="single" w:color="CCCCCC" w:sz="1"/>
              <w:bottom w:val="single" w:color="CCCCCC" w:sz="1"/>
              <w:right w:val="single" w:color="CCCCCC" w:sz="1"/>
            </w:tcBorders>
            <w:shd w:fill="EAE7F5" w:val="clear"/>
            <w:tcMar>
              <w:top w:type="dxa" w:w="120"/>
              <w:left w:type="dxa" w:w="200"/>
              <w:bottom w:type="dxa" w:w="120"/>
              <w:right w:type="dxa" w:w="200"/>
            </w:tcMar>
          </w:tcPr>
          <w:p>
            <w:pPr>
              <w:spacing w:before="80" w:after="80"/>
              <w:jc w:val="left"/>
            </w:pPr>
            <w:r>
              <w:rPr>
                <w:rFonts w:ascii="Arial" w:cs="Arial" w:eastAsia="Arial" w:hAnsi="Arial"/>
                <w:b w:val="false"/>
                <w:bCs w:val="false"/>
                <w:i/>
                <w:iCs/>
                <w:color w:val="555555"/>
                <w:sz w:val="19"/>
                <w:szCs w:val="19"/>
              </w:rPr>
              <w:t xml:space="preserve">L'indicateur 21 est un SUPER INDICATEUR. Il exige : (1) la définition des compétences requises pour animer les prestations, (2) la vérification de leur maîtrise effective par les intervenants, (3) une évaluation formalisée par l'organisme. Pour un OF monoformateur, le responsable s'auto-évalue et désigne les compétences requises par formation.</w:t>
            </w:r>
          </w:p>
        </w:tc>
      </w:tr>
    </w:tbl>
    <w:p>
      <w:pPr>
        <w:spacing w:before="100" w:after="0"/>
        <w:jc w:val="left"/>
      </w:pPr>
      <w:r>
        <w:rPr>
          <w:rFonts w:ascii="Arial" w:cs="Arial" w:eastAsia="Arial" w:hAnsi="Arial"/>
          <w:b w:val="false"/>
          <w:bCs w:val="false"/>
          <w:i w:val="false"/>
          <w:iCs w:val="false"/>
          <w:color w:val="000000"/>
          <w:sz w:val="20"/>
          <w:szCs w:val="20"/>
        </w:rPr>
        <w:t xml:space="preserve"/>
      </w:r>
    </w:p>
    <w:p>
      <w:pPr>
        <w:pBdr>
          <w:bottom w:val="single" w:color="4A3B8C" w:sz="4"/>
        </w:pBdr>
        <w:spacing w:before="260" w:after="100"/>
      </w:pPr>
      <w:r>
        <w:rPr>
          <w:rFonts w:ascii="Arial" w:cs="Arial" w:eastAsia="Arial" w:hAnsi="Arial"/>
          <w:b/>
          <w:bCs/>
          <w:color w:val="4A3B8C"/>
          <w:sz w:val="24"/>
          <w:szCs w:val="24"/>
        </w:rPr>
        <w:t xml:space="preserve">Partie 1 — Référentiel des compétences requises par domaine de formation</w:t>
      </w:r>
    </w:p>
    <w:p>
      <w:pPr>
        <w:spacing w:before="80" w:after="80"/>
        <w:jc w:val="left"/>
      </w:pPr>
      <w:r>
        <w:rPr>
          <w:rFonts w:ascii="Arial" w:cs="Arial" w:eastAsia="Arial" w:hAnsi="Arial"/>
          <w:b w:val="false"/>
          <w:bCs w:val="false"/>
          <w:i/>
          <w:iCs/>
          <w:color w:val="555555"/>
          <w:sz w:val="17"/>
          <w:szCs w:val="17"/>
        </w:rPr>
        <w:t xml:space="preserve">Ce référentiel définit les compétences métier ET pédagogiques nécessaires pour dispenser chaque type de formation proposé par Artémis Prépa. Il constitue la base d'évaluation de tout intervenant (interne ou externe).</w:t>
      </w:r>
    </w:p>
    <w:p>
      <w:pPr>
        <w:spacing w:before="100" w:after="0"/>
        <w:jc w:val="left"/>
      </w:pPr>
      <w:r>
        <w:rPr>
          <w:rFonts w:ascii="Arial" w:cs="Arial" w:eastAsia="Arial" w:hAnsi="Arial"/>
          <w:b w:val="false"/>
          <w:bCs w:val="false"/>
          <w:i w:val="false"/>
          <w:iCs w:val="false"/>
          <w:color w:val="000000"/>
          <w:sz w:val="20"/>
          <w:szCs w:val="20"/>
        </w:rPr>
        <w:t xml:space="preserve"/>
      </w:r>
    </w:p>
    <w:p>
      <w:pPr>
        <w:spacing w:before="160" w:after="60"/>
        <w:jc w:val="left"/>
      </w:pPr>
      <w:r>
        <w:rPr>
          <w:rFonts w:ascii="Arial" w:cs="Arial" w:eastAsia="Arial" w:hAnsi="Arial"/>
          <w:b/>
          <w:bCs/>
          <w:i w:val="false"/>
          <w:iCs w:val="false"/>
          <w:color w:val="4A3B8C"/>
          <w:sz w:val="20"/>
          <w:szCs w:val="20"/>
        </w:rPr>
        <w:t xml:space="preserve">A — Compétences communes à toutes les formations Artémis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2400"/>
        <w:gridCol w:w="2000"/>
      </w:tblGrid>
      <w:tr>
        <w:tc>
          <w:tcPr>
            <w:tcW w:type="dxa" w:w="400"/>
            <w:tcBorders>
              <w:top w:val="single" w:color="CCCCCC" w:sz="1"/>
              <w:left w:val="single" w:color="CCCCCC" w:sz="1"/>
              <w:bottom w:val="single" w:color="CCCCCC" w:sz="1"/>
              <w:right w:val="single" w:color="CCCCCC" w:sz="1"/>
            </w:tcBorders>
            <w:shd w:fill="4A3B8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N°</w:t>
            </w:r>
          </w:p>
        </w:tc>
        <w:tc>
          <w:tcPr>
            <w:tcW w:type="dxa" w:w="4560"/>
            <w:tcBorders>
              <w:top w:val="single" w:color="CCCCCC" w:sz="1"/>
              <w:left w:val="single" w:color="CCCCCC" w:sz="1"/>
              <w:bottom w:val="single" w:color="CCCCCC" w:sz="1"/>
              <w:right w:val="single" w:color="CCCCCC" w:sz="1"/>
            </w:tcBorders>
            <w:shd w:fill="4A3B8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Compétence requise</w:t>
            </w:r>
          </w:p>
        </w:tc>
        <w:tc>
          <w:tcPr>
            <w:tcW w:type="dxa" w:w="2400"/>
            <w:tcBorders>
              <w:top w:val="single" w:color="CCCCCC" w:sz="1"/>
              <w:left w:val="single" w:color="CCCCCC" w:sz="1"/>
              <w:bottom w:val="single" w:color="CCCCCC" w:sz="1"/>
              <w:right w:val="single" w:color="CCCCCC" w:sz="1"/>
            </w:tcBorders>
            <w:shd w:fill="4A3B8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Indicateur de maîtrise</w:t>
            </w:r>
          </w:p>
        </w:tc>
        <w:tc>
          <w:tcPr>
            <w:tcW w:type="dxa" w:w="2000"/>
            <w:tcBorders>
              <w:top w:val="single" w:color="CCCCCC" w:sz="1"/>
              <w:left w:val="single" w:color="CCCCCC" w:sz="1"/>
              <w:bottom w:val="single" w:color="CCCCCC" w:sz="1"/>
              <w:right w:val="single" w:color="CCCCCC" w:sz="1"/>
            </w:tcBorders>
            <w:shd w:fill="4A3B8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Niveau exigé</w:t>
            </w:r>
          </w:p>
        </w:tc>
      </w:tr>
      <w:tr>
        <w:tc>
          <w:tcPr>
            <w:tcW w:type="dxa" w:w="400"/>
            <w:tcBorders>
              <w:top w:val="single" w:color="CCCCCC" w:sz="1"/>
              <w:left w:val="single" w:color="CCCCCC" w:sz="1"/>
              <w:bottom w:val="single" w:color="CCCCCC" w:sz="1"/>
              <w:right w:val="single" w:color="CCCCCC" w:sz="1"/>
            </w:tcBorders>
            <w:shd w:fill="EAE7F5" w:val="clear"/>
            <w:tcMar>
              <w:top w:type="dxa" w:w="80"/>
              <w:left w:type="dxa" w:w="100"/>
              <w:bottom w:type="dxa" w:w="80"/>
              <w:right w:type="dxa" w:w="100"/>
            </w:tcMar>
            <w:vAlign w:val="center"/>
          </w:tcPr>
          <w:p>
            <w:pPr>
              <w:jc w:val="left"/>
            </w:pPr>
            <w:r>
              <w:rPr>
                <w:rFonts w:ascii="Arial" w:cs="Arial" w:eastAsia="Arial" w:hAnsi="Arial"/>
                <w:b/>
                <w:bCs/>
                <w:i w:val="false"/>
                <w:iCs w:val="false"/>
                <w:color w:val="4A3B8C"/>
                <w:sz w:val="17"/>
                <w:szCs w:val="17"/>
              </w:rPr>
              <w:t xml:space="preserve">C01</w:t>
            </w:r>
          </w:p>
        </w:tc>
        <w:tc>
          <w:tcPr>
            <w:tcW w:type="dxa" w:w="4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Maîtriser les fondamentaux du droit public (constitutionnel, administratif, finances publiques)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val="false"/>
                <w:bCs w:val="false"/>
                <w:i/>
                <w:iCs/>
                <w:color w:val="000000"/>
                <w:sz w:val="17"/>
                <w:szCs w:val="17"/>
              </w:rPr>
              <w:t xml:space="preserve">Diplôme Bac+3 min. en droit public OU 3 ans d'expérience documentée</w:t>
            </w:r>
          </w:p>
        </w:tc>
        <w:tc>
          <w:tcPr>
            <w:tcW w:type="dxa" w:w="2000"/>
            <w:tcBorders>
              <w:top w:val="single" w:color="CCCCCC" w:sz="1"/>
              <w:left w:val="single" w:color="CCCCCC" w:sz="1"/>
              <w:bottom w:val="single" w:color="CCCCCC" w:sz="1"/>
              <w:right w:val="single" w:color="CCCCCC" w:sz="1"/>
            </w:tcBorders>
            <w:shd w:fill="EAE7F5" w:val="clear"/>
            <w:tcMar>
              <w:top w:type="dxa" w:w="80"/>
              <w:left w:type="dxa" w:w="100"/>
              <w:bottom w:type="dxa" w:w="80"/>
              <w:right w:type="dxa" w:w="100"/>
            </w:tcMar>
            <w:vAlign w:val="center"/>
          </w:tcPr>
          <w:p>
            <w:pPr>
              <w:jc w:val="center"/>
            </w:pPr>
            <w:r>
              <w:rPr>
                <w:rFonts w:ascii="Arial" w:cs="Arial" w:eastAsia="Arial" w:hAnsi="Arial"/>
                <w:b/>
                <w:bCs/>
                <w:i w:val="false"/>
                <w:iCs w:val="false"/>
                <w:color w:val="4A3B8C"/>
                <w:sz w:val="17"/>
                <w:szCs w:val="17"/>
              </w:rPr>
              <w:t xml:space="preserve">Indispensable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i w:val="false"/>
                <w:iCs w:val="false"/>
                <w:color w:val="4A3B8C"/>
                <w:sz w:val="17"/>
                <w:szCs w:val="17"/>
              </w:rPr>
              <w:t xml:space="preserve">C02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Connaître les institutions de la Ve République et leur fonctionnement réel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i/>
                <w:iCs/>
                <w:color w:val="000000"/>
                <w:sz w:val="17"/>
                <w:szCs w:val="17"/>
              </w:rPr>
              <w:t xml:space="preserve">Diplôme et/ou expérience en milieu institutionnel (administration, politique)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i w:val="false"/>
                <w:iCs w:val="false"/>
                <w:color w:val="4A3B8C"/>
                <w:sz w:val="17"/>
                <w:szCs w:val="17"/>
              </w:rPr>
              <w:t xml:space="preserve">Indispensable</w:t>
            </w:r>
          </w:p>
        </w:tc>
      </w:tr>
      <w:tr>
        <w:tc>
          <w:tcPr>
            <w:tcW w:type="dxa" w:w="400"/>
            <w:tcBorders>
              <w:top w:val="single" w:color="CCCCCC" w:sz="1"/>
              <w:left w:val="single" w:color="CCCCCC" w:sz="1"/>
              <w:bottom w:val="single" w:color="CCCCCC" w:sz="1"/>
              <w:right w:val="single" w:color="CCCCCC" w:sz="1"/>
            </w:tcBorders>
            <w:shd w:fill="EAE7F5" w:val="clear"/>
            <w:tcMar>
              <w:top w:type="dxa" w:w="80"/>
              <w:left w:type="dxa" w:w="100"/>
              <w:bottom w:type="dxa" w:w="80"/>
              <w:right w:type="dxa" w:w="100"/>
            </w:tcMar>
            <w:vAlign w:val="center"/>
          </w:tcPr>
          <w:p>
            <w:pPr>
              <w:jc w:val="left"/>
            </w:pPr>
            <w:r>
              <w:rPr>
                <w:rFonts w:ascii="Arial" w:cs="Arial" w:eastAsia="Arial" w:hAnsi="Arial"/>
                <w:b/>
                <w:bCs/>
                <w:i w:val="false"/>
                <w:iCs w:val="false"/>
                <w:color w:val="4A3B8C"/>
                <w:sz w:val="17"/>
                <w:szCs w:val="17"/>
              </w:rPr>
              <w:t xml:space="preserve">C03</w:t>
            </w:r>
          </w:p>
        </w:tc>
        <w:tc>
          <w:tcPr>
            <w:tcW w:type="dxa" w:w="4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Maîtriser la méthodologie des épreuves de concours cat. A (note de synthèse, rapport)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val="false"/>
                <w:bCs w:val="false"/>
                <w:i/>
                <w:iCs/>
                <w:color w:val="000000"/>
                <w:sz w:val="17"/>
                <w:szCs w:val="17"/>
              </w:rPr>
              <w:t xml:space="preserve">Pratique régulière des épreuves — corrections d'annales documentées</w:t>
            </w:r>
          </w:p>
        </w:tc>
        <w:tc>
          <w:tcPr>
            <w:tcW w:type="dxa" w:w="2000"/>
            <w:tcBorders>
              <w:top w:val="single" w:color="CCCCCC" w:sz="1"/>
              <w:left w:val="single" w:color="CCCCCC" w:sz="1"/>
              <w:bottom w:val="single" w:color="CCCCCC" w:sz="1"/>
              <w:right w:val="single" w:color="CCCCCC" w:sz="1"/>
            </w:tcBorders>
            <w:shd w:fill="EAE7F5" w:val="clear"/>
            <w:tcMar>
              <w:top w:type="dxa" w:w="80"/>
              <w:left w:type="dxa" w:w="100"/>
              <w:bottom w:type="dxa" w:w="80"/>
              <w:right w:type="dxa" w:w="100"/>
            </w:tcMar>
            <w:vAlign w:val="center"/>
          </w:tcPr>
          <w:p>
            <w:pPr>
              <w:jc w:val="center"/>
            </w:pPr>
            <w:r>
              <w:rPr>
                <w:rFonts w:ascii="Arial" w:cs="Arial" w:eastAsia="Arial" w:hAnsi="Arial"/>
                <w:b/>
                <w:bCs/>
                <w:i w:val="false"/>
                <w:iCs w:val="false"/>
                <w:color w:val="4A3B8C"/>
                <w:sz w:val="17"/>
                <w:szCs w:val="17"/>
              </w:rPr>
              <w:t xml:space="preserve">Indispensable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i w:val="false"/>
                <w:iCs w:val="false"/>
                <w:color w:val="4A3B8C"/>
                <w:sz w:val="17"/>
                <w:szCs w:val="17"/>
              </w:rPr>
              <w:t xml:space="preserve">C04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Savoir concevoir et animer une séance de formation pour adultes (andragogie)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i/>
                <w:iCs/>
                <w:color w:val="000000"/>
                <w:sz w:val="17"/>
                <w:szCs w:val="17"/>
              </w:rPr>
              <w:t xml:space="preserve">Formation pédagogique OU expérience d'enseignement ≥ 1 an documentée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i w:val="false"/>
                <w:iCs w:val="false"/>
                <w:color w:val="4A3B8C"/>
                <w:sz w:val="17"/>
                <w:szCs w:val="17"/>
              </w:rPr>
              <w:t xml:space="preserve">Indispensable</w:t>
            </w:r>
          </w:p>
        </w:tc>
      </w:tr>
      <w:tr>
        <w:tc>
          <w:tcPr>
            <w:tcW w:type="dxa" w:w="400"/>
            <w:tcBorders>
              <w:top w:val="single" w:color="CCCCCC" w:sz="1"/>
              <w:left w:val="single" w:color="CCCCCC" w:sz="1"/>
              <w:bottom w:val="single" w:color="CCCCCC" w:sz="1"/>
              <w:right w:val="single" w:color="CCCCCC" w:sz="1"/>
            </w:tcBorders>
            <w:shd w:fill="EAE7F5" w:val="clear"/>
            <w:tcMar>
              <w:top w:type="dxa" w:w="80"/>
              <w:left w:type="dxa" w:w="100"/>
              <w:bottom w:type="dxa" w:w="80"/>
              <w:right w:type="dxa" w:w="100"/>
            </w:tcMar>
            <w:vAlign w:val="center"/>
          </w:tcPr>
          <w:p>
            <w:pPr>
              <w:jc w:val="left"/>
            </w:pPr>
            <w:r>
              <w:rPr>
                <w:rFonts w:ascii="Arial" w:cs="Arial" w:eastAsia="Arial" w:hAnsi="Arial"/>
                <w:b/>
                <w:bCs/>
                <w:i w:val="false"/>
                <w:iCs w:val="false"/>
                <w:color w:val="4A3B8C"/>
                <w:sz w:val="17"/>
                <w:szCs w:val="17"/>
              </w:rPr>
              <w:t xml:space="preserve">C05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Être capable de corriger des productions écrites de niveau concours de manière individualisée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val="false"/>
                <w:bCs w:val="false"/>
                <w:i/>
                <w:iCs/>
                <w:color w:val="000000"/>
                <w:sz w:val="17"/>
                <w:szCs w:val="17"/>
              </w:rPr>
              <w:t xml:space="preserve">Expérience de correction attestée (contrats, feuilles d'émargement)</w:t>
            </w:r>
          </w:p>
        </w:tc>
        <w:tc>
          <w:tcPr>
            <w:tcW w:type="dxa" w:w="2000"/>
            <w:tcBorders>
              <w:top w:val="single" w:color="CCCCCC" w:sz="1"/>
              <w:left w:val="single" w:color="CCCCCC" w:sz="1"/>
              <w:bottom w:val="single" w:color="CCCCCC" w:sz="1"/>
              <w:right w:val="single" w:color="CCCCCC" w:sz="1"/>
            </w:tcBorders>
            <w:shd w:fill="EAE7F5" w:val="clear"/>
            <w:tcMar>
              <w:top w:type="dxa" w:w="80"/>
              <w:left w:type="dxa" w:w="100"/>
              <w:bottom w:type="dxa" w:w="80"/>
              <w:right w:type="dxa" w:w="100"/>
            </w:tcMar>
            <w:vAlign w:val="center"/>
          </w:tcPr>
          <w:p>
            <w:pPr>
              <w:jc w:val="center"/>
            </w:pPr>
            <w:r>
              <w:rPr>
                <w:rFonts w:ascii="Arial" w:cs="Arial" w:eastAsia="Arial" w:hAnsi="Arial"/>
                <w:b/>
                <w:bCs/>
                <w:i w:val="false"/>
                <w:iCs w:val="false"/>
                <w:color w:val="4A3B8C"/>
                <w:sz w:val="17"/>
                <w:szCs w:val="17"/>
              </w:rPr>
              <w:t xml:space="preserve">Indispensable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i w:val="false"/>
                <w:iCs w:val="false"/>
                <w:color w:val="4A3B8C"/>
                <w:sz w:val="17"/>
                <w:szCs w:val="17"/>
              </w:rPr>
              <w:t xml:space="preserve">C06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Savoir adapter le discours pédagogique aux profils des stagiaires (différenciation)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i/>
                <w:iCs/>
                <w:color w:val="000000"/>
                <w:sz w:val="17"/>
                <w:szCs w:val="17"/>
              </w:rPr>
              <w:t xml:space="preserve">Expérience enseignement multi-niveaux OU formation pédagogique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val="false"/>
                <w:iCs w:val="false"/>
                <w:color w:val="555555"/>
                <w:sz w:val="17"/>
                <w:szCs w:val="17"/>
              </w:rPr>
              <w:t xml:space="preserve">Recommandé</w:t>
            </w:r>
          </w:p>
        </w:tc>
      </w:tr>
      <w:tr>
        <w:tc>
          <w:tcPr>
            <w:tcW w:type="dxa" w:w="400"/>
            <w:tcBorders>
              <w:top w:val="single" w:color="CCCCCC" w:sz="1"/>
              <w:left w:val="single" w:color="CCCCCC" w:sz="1"/>
              <w:bottom w:val="single" w:color="CCCCCC" w:sz="1"/>
              <w:right w:val="single" w:color="CCCCCC" w:sz="1"/>
            </w:tcBorders>
            <w:shd w:fill="EAE7F5" w:val="clear"/>
            <w:tcMar>
              <w:top w:type="dxa" w:w="80"/>
              <w:left w:type="dxa" w:w="100"/>
              <w:bottom w:type="dxa" w:w="80"/>
              <w:right w:type="dxa" w:w="100"/>
            </w:tcMar>
            <w:vAlign w:val="center"/>
          </w:tcPr>
          <w:p>
            <w:pPr>
              <w:jc w:val="left"/>
            </w:pPr>
            <w:r>
              <w:rPr>
                <w:rFonts w:ascii="Arial" w:cs="Arial" w:eastAsia="Arial" w:hAnsi="Arial"/>
                <w:b/>
                <w:bCs/>
                <w:i w:val="false"/>
                <w:iCs w:val="false"/>
                <w:color w:val="4A3B8C"/>
                <w:sz w:val="17"/>
                <w:szCs w:val="17"/>
              </w:rPr>
              <w:t xml:space="preserve">C07</w:t>
            </w:r>
          </w:p>
        </w:tc>
        <w:tc>
          <w:tcPr>
            <w:tcW w:type="dxa" w:w="4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Maîtriser les outils de formation à distance (visioconférence, partage de documents)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val="false"/>
                <w:bCs w:val="false"/>
                <w:i/>
                <w:iCs/>
                <w:color w:val="000000"/>
                <w:sz w:val="17"/>
                <w:szCs w:val="17"/>
              </w:rPr>
              <w:t xml:space="preserve">Utilisation effective depuis ≥ 1 an — atteste par liste de sessions</w:t>
            </w:r>
          </w:p>
        </w:tc>
        <w:tc>
          <w:tcPr>
            <w:tcW w:type="dxa" w:w="2000"/>
            <w:tcBorders>
              <w:top w:val="single" w:color="CCCCCC" w:sz="1"/>
              <w:left w:val="single" w:color="CCCCCC" w:sz="1"/>
              <w:bottom w:val="single" w:color="CCCCCC" w:sz="1"/>
              <w:right w:val="single" w:color="CCCCCC" w:sz="1"/>
            </w:tcBorders>
            <w:shd w:fill="EAE7F5" w:val="clear"/>
            <w:tcMar>
              <w:top w:type="dxa" w:w="80"/>
              <w:left w:type="dxa" w:w="100"/>
              <w:bottom w:type="dxa" w:w="80"/>
              <w:right w:type="dxa" w:w="100"/>
            </w:tcMar>
            <w:vAlign w:val="center"/>
          </w:tcPr>
          <w:p>
            <w:pPr>
              <w:jc w:val="center"/>
            </w:pPr>
            <w:r>
              <w:rPr>
                <w:rFonts w:ascii="Arial" w:cs="Arial" w:eastAsia="Arial" w:hAnsi="Arial"/>
                <w:b/>
                <w:bCs/>
                <w:i w:val="false"/>
                <w:iCs w:val="false"/>
                <w:color w:val="4A3B8C"/>
                <w:sz w:val="17"/>
                <w:szCs w:val="17"/>
              </w:rPr>
              <w:t xml:space="preserve">Indispensable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i w:val="false"/>
                <w:iCs w:val="false"/>
                <w:color w:val="4A3B8C"/>
                <w:sz w:val="17"/>
                <w:szCs w:val="17"/>
              </w:rPr>
              <w:t xml:space="preserve">C08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Connaître les obligations légales en matière de formation professionnelle (RGPD, handicap, RNQ)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i/>
                <w:iCs/>
                <w:color w:val="000000"/>
                <w:sz w:val="17"/>
                <w:szCs w:val="17"/>
              </w:rPr>
              <w:t xml:space="preserve">Sensibilisation documentée ou formation dédiée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val="false"/>
                <w:iCs w:val="false"/>
                <w:color w:val="555555"/>
                <w:sz w:val="17"/>
                <w:szCs w:val="17"/>
              </w:rPr>
              <w:t xml:space="preserve">Recommandé</w:t>
            </w:r>
          </w:p>
        </w:tc>
      </w:tr>
    </w:tbl>
    <w:p>
      <w:pPr>
        <w:spacing w:before="100" w:after="0"/>
        <w:jc w:val="left"/>
      </w:pPr>
      <w:r>
        <w:rPr>
          <w:rFonts w:ascii="Arial" w:cs="Arial" w:eastAsia="Arial" w:hAnsi="Arial"/>
          <w:b w:val="false"/>
          <w:bCs w:val="false"/>
          <w:i w:val="false"/>
          <w:iCs w:val="false"/>
          <w:color w:val="000000"/>
          <w:sz w:val="20"/>
          <w:szCs w:val="20"/>
        </w:rPr>
        <w:t xml:space="preserve"/>
      </w:r>
    </w:p>
    <w:p>
      <w:pPr>
        <w:spacing w:before="160" w:after="60"/>
        <w:jc w:val="left"/>
      </w:pPr>
      <w:r>
        <w:rPr>
          <w:rFonts w:ascii="Arial" w:cs="Arial" w:eastAsia="Arial" w:hAnsi="Arial"/>
          <w:b/>
          <w:bCs/>
          <w:i w:val="false"/>
          <w:iCs w:val="false"/>
          <w:color w:val="4A3B8C"/>
          <w:sz w:val="20"/>
          <w:szCs w:val="20"/>
        </w:rPr>
        <w:t xml:space="preserve">B — Compétences spécifiques par type de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4A3B8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Type de formation</w:t>
            </w:r>
          </w:p>
        </w:tc>
        <w:tc>
          <w:tcPr>
            <w:tcW w:type="dxa" w:w="4560"/>
            <w:tcBorders>
              <w:top w:val="single" w:color="CCCCCC" w:sz="1"/>
              <w:left w:val="single" w:color="CCCCCC" w:sz="1"/>
              <w:bottom w:val="single" w:color="CCCCCC" w:sz="1"/>
              <w:right w:val="single" w:color="CCCCCC" w:sz="1"/>
            </w:tcBorders>
            <w:shd w:fill="4A3B8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Compétences spécifiques requises</w:t>
            </w:r>
          </w:p>
        </w:tc>
        <w:tc>
          <w:tcPr>
            <w:tcW w:type="dxa" w:w="2400"/>
            <w:tcBorders>
              <w:top w:val="single" w:color="CCCCCC" w:sz="1"/>
              <w:left w:val="single" w:color="CCCCCC" w:sz="1"/>
              <w:bottom w:val="single" w:color="CCCCCC" w:sz="1"/>
              <w:right w:val="single" w:color="CCCCCC" w:sz="1"/>
            </w:tcBorders>
            <w:shd w:fill="4A3B8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Preuve associée</w:t>
            </w:r>
          </w:p>
        </w:tc>
      </w:tr>
      <w:tr>
        <w:tc>
          <w:tcPr>
            <w:tcW w:type="dxa" w:w="2400"/>
            <w:tcBorders>
              <w:top w:val="single" w:color="CCCCCC" w:sz="1"/>
              <w:left w:val="single" w:color="CCCCCC" w:sz="1"/>
              <w:bottom w:val="single" w:color="CCCCCC" w:sz="1"/>
              <w:right w:val="single" w:color="CCCCCC" w:sz="1"/>
            </w:tcBorders>
            <w:shd w:fill="EAE7F5" w:val="clear"/>
            <w:tcMar>
              <w:top w:type="dxa" w:w="80"/>
              <w:left w:type="dxa" w:w="100"/>
              <w:bottom w:type="dxa" w:w="80"/>
              <w:right w:type="dxa" w:w="100"/>
            </w:tcMar>
            <w:vAlign w:val="center"/>
          </w:tcPr>
          <w:p>
            <w:pPr>
              <w:jc w:val="left"/>
            </w:pPr>
            <w:r>
              <w:rPr>
                <w:rFonts w:ascii="Arial" w:cs="Arial" w:eastAsia="Arial" w:hAnsi="Arial"/>
                <w:b/>
                <w:bCs/>
                <w:i w:val="false"/>
                <w:iCs w:val="false"/>
                <w:color w:val="4A3B8C"/>
                <w:sz w:val="17"/>
                <w:szCs w:val="17"/>
              </w:rPr>
              <w:t xml:space="preserve">Prép. concours cat. A</w:t>
            </w:r>
          </w:p>
        </w:tc>
        <w:tc>
          <w:tcPr>
            <w:tcW w:type="dxa" w:w="4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Connaissance approfondie des épreuves cat. A actualisées — Maîtrise rédaction niveau master — Capacité simulation jury oral</w:t>
            </w:r>
          </w:p>
        </w:tc>
        <w:tc>
          <w:tcPr>
            <w:tcW w:type="dxa" w:w="2400"/>
            <w:tcBorders>
              <w:top w:val="single" w:color="CCCCCC" w:sz="1"/>
              <w:left w:val="single" w:color="CCCCCC" w:sz="1"/>
              <w:bottom w:val="single" w:color="CCCCCC" w:sz="1"/>
              <w:right w:val="single" w:color="CCCCCC" w:sz="1"/>
            </w:tcBorders>
            <w:shd w:fill="E6F4EC" w:val="clear"/>
            <w:tcMar>
              <w:top w:type="dxa" w:w="80"/>
              <w:left w:type="dxa" w:w="100"/>
              <w:bottom w:type="dxa" w:w="80"/>
              <w:right w:type="dxa" w:w="100"/>
            </w:tcMar>
            <w:vAlign w:val="top"/>
          </w:tcPr>
          <w:p>
            <w:pPr>
              <w:jc w:val="left"/>
            </w:pPr>
            <w:r>
              <w:rPr>
                <w:rFonts w:ascii="Arial" w:cs="Arial" w:eastAsia="Arial" w:hAnsi="Arial"/>
                <w:b w:val="false"/>
                <w:bCs w:val="false"/>
                <w:i/>
                <w:iCs/>
                <w:color w:val="1A6E3C"/>
                <w:sz w:val="17"/>
                <w:szCs w:val="17"/>
              </w:rPr>
              <w:t xml:space="preserve">Annales récentes + programmes officiels vérifiés chaque année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i w:val="false"/>
                <w:iCs w:val="false"/>
                <w:color w:val="4A3B8C"/>
                <w:sz w:val="17"/>
                <w:szCs w:val="17"/>
              </w:rPr>
              <w:t xml:space="preserve">Prép. concours cat. 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Connaissance des épreuves cat. B — Adaptation du niveau pédagogique (Bac requis) — Pédagogie progressive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i/>
                <w:iCs/>
                <w:color w:val="1A6E3C"/>
                <w:sz w:val="17"/>
                <w:szCs w:val="17"/>
              </w:rPr>
              <w:t xml:space="preserve">Programmes officiels concours B — adaptations tracées sur FSI-001</w:t>
            </w:r>
          </w:p>
        </w:tc>
      </w:tr>
      <w:tr>
        <w:tc>
          <w:tcPr>
            <w:tcW w:type="dxa" w:w="2400"/>
            <w:tcBorders>
              <w:top w:val="single" w:color="CCCCCC" w:sz="1"/>
              <w:left w:val="single" w:color="CCCCCC" w:sz="1"/>
              <w:bottom w:val="single" w:color="CCCCCC" w:sz="1"/>
              <w:right w:val="single" w:color="CCCCCC" w:sz="1"/>
            </w:tcBorders>
            <w:shd w:fill="EAE7F5" w:val="clear"/>
            <w:tcMar>
              <w:top w:type="dxa" w:w="80"/>
              <w:left w:type="dxa" w:w="100"/>
              <w:bottom w:type="dxa" w:w="80"/>
              <w:right w:type="dxa" w:w="100"/>
            </w:tcMar>
            <w:vAlign w:val="center"/>
          </w:tcPr>
          <w:p>
            <w:pPr>
              <w:jc w:val="left"/>
            </w:pPr>
            <w:r>
              <w:rPr>
                <w:rFonts w:ascii="Arial" w:cs="Arial" w:eastAsia="Arial" w:hAnsi="Arial"/>
                <w:b/>
                <w:bCs/>
                <w:i w:val="false"/>
                <w:iCs w:val="false"/>
                <w:color w:val="4A3B8C"/>
                <w:sz w:val="17"/>
                <w:szCs w:val="17"/>
              </w:rPr>
              <w:t xml:space="preserve">Formations juridiques continues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Veille jurisprudentielle active — Connaissance du droit vivant (réformes récentes) — Capacité à vulgariser pour non-juristes</w:t>
            </w:r>
          </w:p>
        </w:tc>
        <w:tc>
          <w:tcPr>
            <w:tcW w:type="dxa" w:w="2400"/>
            <w:tcBorders>
              <w:top w:val="single" w:color="CCCCCC" w:sz="1"/>
              <w:left w:val="single" w:color="CCCCCC" w:sz="1"/>
              <w:bottom w:val="single" w:color="CCCCCC" w:sz="1"/>
              <w:right w:val="single" w:color="CCCCCC" w:sz="1"/>
            </w:tcBorders>
            <w:shd w:fill="E6F4EC" w:val="clear"/>
            <w:tcMar>
              <w:top w:type="dxa" w:w="80"/>
              <w:left w:type="dxa" w:w="100"/>
              <w:bottom w:type="dxa" w:w="80"/>
              <w:right w:type="dxa" w:w="100"/>
            </w:tcMar>
            <w:vAlign w:val="top"/>
          </w:tcPr>
          <w:p>
            <w:pPr>
              <w:jc w:val="left"/>
            </w:pPr>
            <w:r>
              <w:rPr>
                <w:rFonts w:ascii="Arial" w:cs="Arial" w:eastAsia="Arial" w:hAnsi="Arial"/>
                <w:b w:val="false"/>
                <w:bCs w:val="false"/>
                <w:i/>
                <w:iCs/>
                <w:color w:val="1A6E3C"/>
                <w:sz w:val="17"/>
                <w:szCs w:val="17"/>
              </w:rPr>
              <w:t xml:space="preserve">Journal de veille ART-VEILLE-001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i w:val="false"/>
                <w:iCs w:val="false"/>
                <w:color w:val="4A3B8C"/>
                <w:sz w:val="17"/>
                <w:szCs w:val="17"/>
              </w:rPr>
              <w:t xml:space="preserve">Formations particuliers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Pédagogie adaptée aux adultes sans bagage juridique — Exemples tirés de la vie quotidienne — Évaluation non-anxiogène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i/>
                <w:iCs/>
                <w:color w:val="1A6E3C"/>
                <w:sz w:val="17"/>
                <w:szCs w:val="17"/>
              </w:rPr>
              <w:t xml:space="preserve">Retours stagiaires (éval. à chaud ART-EVAL-C-001)</w:t>
            </w:r>
          </w:p>
        </w:tc>
      </w:tr>
    </w:tbl>
    <w:p>
      <w:pPr>
        <w:spacing w:before="100" w:after="0"/>
        <w:jc w:val="left"/>
      </w:pPr>
      <w:r>
        <w:rPr>
          <w:rFonts w:ascii="Arial" w:cs="Arial" w:eastAsia="Arial" w:hAnsi="Arial"/>
          <w:b w:val="false"/>
          <w:bCs w:val="false"/>
          <w:i w:val="false"/>
          <w:iCs w:val="false"/>
          <w:color w:val="000000"/>
          <w:sz w:val="20"/>
          <w:szCs w:val="20"/>
        </w:rPr>
        <w:t xml:space="preserve"/>
      </w:r>
    </w:p>
    <w:p>
      <w:pPr>
        <w:pBdr>
          <w:bottom w:val="single" w:color="4A3B8C" w:sz="4"/>
        </w:pBdr>
        <w:spacing w:before="260" w:after="100"/>
      </w:pPr>
      <w:r>
        <w:rPr>
          <w:rFonts w:ascii="Arial" w:cs="Arial" w:eastAsia="Arial" w:hAnsi="Arial"/>
          <w:b/>
          <w:bCs/>
          <w:color w:val="4A3B8C"/>
          <w:sz w:val="24"/>
          <w:szCs w:val="24"/>
        </w:rPr>
        <w:t xml:space="preserve">Partie 2 — Grille d'adéquation compétences requises / compétences détenues</w:t>
      </w:r>
    </w:p>
    <w:p>
      <w:pPr>
        <w:spacing w:before="80" w:after="80"/>
        <w:jc w:val="left"/>
      </w:pPr>
      <w:r>
        <w:rPr>
          <w:rFonts w:ascii="Arial" w:cs="Arial" w:eastAsia="Arial" w:hAnsi="Arial"/>
          <w:b w:val="false"/>
          <w:bCs w:val="false"/>
          <w:i/>
          <w:iCs/>
          <w:color w:val="555555"/>
          <w:sz w:val="17"/>
          <w:szCs w:val="17"/>
        </w:rPr>
        <w:t xml:space="preserve">Cette grille est complétée pour chaque intervenant (interne ou externe). Pour Artémis Prépa, elle est renseignée par le responsable pédagogique pour lui-même et pour tout sous-traitant éventuel.</w:t>
      </w:r>
    </w:p>
    <w:p>
      <w:pPr>
        <w:spacing w:before="100" w:after="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Intervenant évalué</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Camille Chapuis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Rôle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Formateur principal — Responsable pédagogique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Date de l'évaluation</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[JJ/MM/AAAA]</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Évaluateur</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Camille Chapuis (auto-évaluation) — réexaminée annuellement</w:t>
            </w:r>
          </w:p>
        </w:tc>
      </w:tr>
    </w:tbl>
    <w:p>
      <w:pPr>
        <w:spacing w:before="100" w:after="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360"/>
        <w:gridCol w:w="2000"/>
        <w:gridCol w:w="1800"/>
        <w:gridCol w:w="1800"/>
      </w:tblGrid>
      <w:tr>
        <w:tc>
          <w:tcPr>
            <w:tcW w:type="dxa" w:w="400"/>
            <w:tcBorders>
              <w:top w:val="single" w:color="CCCCCC" w:sz="1"/>
              <w:left w:val="single" w:color="CCCCCC" w:sz="1"/>
              <w:bottom w:val="single" w:color="CCCCCC" w:sz="1"/>
              <w:right w:val="single" w:color="CCCCCC" w:sz="1"/>
            </w:tcBorders>
            <w:shd w:fill="4A3B8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Code</w:t>
            </w:r>
          </w:p>
        </w:tc>
        <w:tc>
          <w:tcPr>
            <w:tcW w:type="dxa" w:w="3360"/>
            <w:tcBorders>
              <w:top w:val="single" w:color="CCCCCC" w:sz="1"/>
              <w:left w:val="single" w:color="CCCCCC" w:sz="1"/>
              <w:bottom w:val="single" w:color="CCCCCC" w:sz="1"/>
              <w:right w:val="single" w:color="CCCCCC" w:sz="1"/>
            </w:tcBorders>
            <w:shd w:fill="4A3B8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Compétence requise</w:t>
            </w:r>
          </w:p>
        </w:tc>
        <w:tc>
          <w:tcPr>
            <w:tcW w:type="dxa" w:w="2000"/>
            <w:tcBorders>
              <w:top w:val="single" w:color="CCCCCC" w:sz="1"/>
              <w:left w:val="single" w:color="CCCCCC" w:sz="1"/>
              <w:bottom w:val="single" w:color="CCCCCC" w:sz="1"/>
              <w:right w:val="single" w:color="CCCCCC" w:sz="1"/>
            </w:tcBorders>
            <w:shd w:fill="4A3B8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Preuve de maîtrise</w:t>
            </w:r>
          </w:p>
        </w:tc>
        <w:tc>
          <w:tcPr>
            <w:tcW w:type="dxa" w:w="1800"/>
            <w:tcBorders>
              <w:top w:val="single" w:color="CCCCCC" w:sz="1"/>
              <w:left w:val="single" w:color="CCCCCC" w:sz="1"/>
              <w:bottom w:val="single" w:color="CCCCCC" w:sz="1"/>
              <w:right w:val="single" w:color="CCCCCC" w:sz="1"/>
            </w:tcBorders>
            <w:shd w:fill="4A3B8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Niveau détenu</w:t>
            </w:r>
          </w:p>
        </w:tc>
        <w:tc>
          <w:tcPr>
            <w:tcW w:type="dxa" w:w="1800"/>
            <w:tcBorders>
              <w:top w:val="single" w:color="CCCCCC" w:sz="1"/>
              <w:left w:val="single" w:color="CCCCCC" w:sz="1"/>
              <w:bottom w:val="single" w:color="CCCCCC" w:sz="1"/>
              <w:right w:val="single" w:color="CCCCCC" w:sz="1"/>
            </w:tcBorders>
            <w:shd w:fill="4A3B8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Écart / action</w:t>
            </w:r>
          </w:p>
        </w:tc>
      </w:tr>
      <w:tr>
        <w:tc>
          <w:tcPr>
            <w:tcW w:type="dxa" w:w="400"/>
            <w:tcBorders>
              <w:top w:val="single" w:color="CCCCCC" w:sz="1"/>
              <w:left w:val="single" w:color="CCCCCC" w:sz="1"/>
              <w:bottom w:val="single" w:color="CCCCCC" w:sz="1"/>
              <w:right w:val="single" w:color="CCCCCC" w:sz="1"/>
            </w:tcBorders>
            <w:shd w:fill="EAE7F5" w:val="clear"/>
            <w:tcMar>
              <w:top w:type="dxa" w:w="80"/>
              <w:left w:type="dxa" w:w="100"/>
              <w:bottom w:type="dxa" w:w="80"/>
              <w:right w:type="dxa" w:w="100"/>
            </w:tcMar>
            <w:vAlign w:val="center"/>
          </w:tcPr>
          <w:p>
            <w:pPr>
              <w:jc w:val="left"/>
            </w:pPr>
            <w:r>
              <w:rPr>
                <w:rFonts w:ascii="Arial" w:cs="Arial" w:eastAsia="Arial" w:hAnsi="Arial"/>
                <w:b/>
                <w:bCs/>
                <w:i w:val="false"/>
                <w:iCs w:val="false"/>
                <w:color w:val="4A3B8C"/>
                <w:sz w:val="17"/>
                <w:szCs w:val="17"/>
              </w:rPr>
              <w:t xml:space="preserve">C01</w:t>
            </w:r>
          </w:p>
        </w:tc>
        <w:tc>
          <w:tcPr>
            <w:tcW w:type="dxa" w:w="33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Droit public (constitutionnel, administratif, finances)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val="false"/>
                <w:bCs w:val="false"/>
                <w:i/>
                <w:iCs/>
                <w:color w:val="000000"/>
                <w:sz w:val="16"/>
                <w:szCs w:val="16"/>
              </w:rPr>
              <w:t xml:space="preserve">Master 2 Droit public + Master 2 Droit collectivités + Master Histoire droit</w:t>
            </w:r>
          </w:p>
        </w:tc>
        <w:tc>
          <w:tcPr>
            <w:tcW w:type="dxa" w:w="1800"/>
            <w:tcBorders>
              <w:top w:val="single" w:color="CCCCCC" w:sz="1"/>
              <w:left w:val="single" w:color="CCCCCC" w:sz="1"/>
              <w:bottom w:val="single" w:color="CCCCCC" w:sz="1"/>
              <w:right w:val="single" w:color="CCCCCC" w:sz="1"/>
            </w:tcBorders>
            <w:shd w:fill="E6F4EC" w:val="clear"/>
            <w:tcMar>
              <w:top w:type="dxa" w:w="80"/>
              <w:left w:type="dxa" w:w="100"/>
              <w:bottom w:type="dxa" w:w="80"/>
              <w:right w:type="dxa" w:w="100"/>
            </w:tcMar>
            <w:vAlign w:val="center"/>
          </w:tcPr>
          <w:p>
            <w:pPr>
              <w:jc w:val="center"/>
            </w:pPr>
            <w:r>
              <w:rPr>
                <w:rFonts w:ascii="Arial" w:cs="Arial" w:eastAsia="Arial" w:hAnsi="Arial"/>
                <w:b/>
                <w:bCs/>
                <w:color w:val="1A6E3C"/>
                <w:sz w:val="16"/>
                <w:szCs w:val="16"/>
              </w:rPr>
              <w:t xml:space="preserve">Maîtrisé</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val="false"/>
                <w:bCs w:val="false"/>
                <w:i/>
                <w:iCs/>
                <w:color w:val="555555"/>
                <w:sz w:val="15"/>
                <w:szCs w:val="15"/>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i w:val="false"/>
                <w:iCs w:val="false"/>
                <w:color w:val="4A3B8C"/>
                <w:sz w:val="17"/>
                <w:szCs w:val="17"/>
              </w:rPr>
              <w:t xml:space="preserve">C02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Institutions Ve République et milieu institutionnel réel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i/>
                <w:iCs/>
                <w:color w:val="000000"/>
                <w:sz w:val="16"/>
                <w:szCs w:val="16"/>
              </w:rPr>
              <w:t xml:space="preserve">Collaborateur parlementaire 2 mandats + SG groupe régional + conseiller municipal depuis 2019</w:t>
            </w:r>
          </w:p>
        </w:tc>
        <w:tc>
          <w:tcPr>
            <w:tcW w:type="dxa" w:w="1800"/>
            <w:tcBorders>
              <w:top w:val="single" w:color="CCCCCC" w:sz="1"/>
              <w:left w:val="single" w:color="CCCCCC" w:sz="1"/>
              <w:bottom w:val="single" w:color="CCCCCC" w:sz="1"/>
              <w:right w:val="single" w:color="CCCCCC" w:sz="1"/>
            </w:tcBorders>
            <w:shd w:fill="E6F4EC" w:val="clear"/>
            <w:tcMar>
              <w:top w:type="dxa" w:w="80"/>
              <w:left w:type="dxa" w:w="100"/>
              <w:bottom w:type="dxa" w:w="80"/>
              <w:right w:type="dxa" w:w="100"/>
            </w:tcMar>
            <w:vAlign w:val="center"/>
          </w:tcPr>
          <w:p>
            <w:pPr>
              <w:jc w:val="center"/>
            </w:pPr>
            <w:r>
              <w:rPr>
                <w:rFonts w:ascii="Arial" w:cs="Arial" w:eastAsia="Arial" w:hAnsi="Arial"/>
                <w:b/>
                <w:bCs/>
                <w:color w:val="1A6E3C"/>
                <w:sz w:val="16"/>
                <w:szCs w:val="16"/>
              </w:rPr>
              <w:t xml:space="preserve">Maîtrisé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iCs/>
                <w:color w:val="555555"/>
                <w:sz w:val="15"/>
                <w:szCs w:val="15"/>
              </w:rPr>
              <w:t xml:space="preserve">—</w:t>
            </w:r>
          </w:p>
        </w:tc>
      </w:tr>
      <w:tr>
        <w:tc>
          <w:tcPr>
            <w:tcW w:type="dxa" w:w="400"/>
            <w:tcBorders>
              <w:top w:val="single" w:color="CCCCCC" w:sz="1"/>
              <w:left w:val="single" w:color="CCCCCC" w:sz="1"/>
              <w:bottom w:val="single" w:color="CCCCCC" w:sz="1"/>
              <w:right w:val="single" w:color="CCCCCC" w:sz="1"/>
            </w:tcBorders>
            <w:shd w:fill="EAE7F5" w:val="clear"/>
            <w:tcMar>
              <w:top w:type="dxa" w:w="80"/>
              <w:left w:type="dxa" w:w="100"/>
              <w:bottom w:type="dxa" w:w="80"/>
              <w:right w:type="dxa" w:w="100"/>
            </w:tcMar>
            <w:vAlign w:val="center"/>
          </w:tcPr>
          <w:p>
            <w:pPr>
              <w:jc w:val="left"/>
            </w:pPr>
            <w:r>
              <w:rPr>
                <w:rFonts w:ascii="Arial" w:cs="Arial" w:eastAsia="Arial" w:hAnsi="Arial"/>
                <w:b/>
                <w:bCs/>
                <w:i w:val="false"/>
                <w:iCs w:val="false"/>
                <w:color w:val="4A3B8C"/>
                <w:sz w:val="17"/>
                <w:szCs w:val="17"/>
              </w:rPr>
              <w:t xml:space="preserve">C03</w:t>
            </w:r>
          </w:p>
        </w:tc>
        <w:tc>
          <w:tcPr>
            <w:tcW w:type="dxa" w:w="33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Méthodologie épreuves concours cat. 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val="false"/>
                <w:bCs w:val="false"/>
                <w:i/>
                <w:iCs/>
                <w:color w:val="000000"/>
                <w:sz w:val="16"/>
                <w:szCs w:val="16"/>
              </w:rPr>
              <w:t xml:space="preserve">Conception annales commentées + corrections depuis 2020 + cours Jean-Monnet, Lyon 2</w:t>
            </w:r>
          </w:p>
        </w:tc>
        <w:tc>
          <w:tcPr>
            <w:tcW w:type="dxa" w:w="1800"/>
            <w:tcBorders>
              <w:top w:val="single" w:color="CCCCCC" w:sz="1"/>
              <w:left w:val="single" w:color="CCCCCC" w:sz="1"/>
              <w:bottom w:val="single" w:color="CCCCCC" w:sz="1"/>
              <w:right w:val="single" w:color="CCCCCC" w:sz="1"/>
            </w:tcBorders>
            <w:shd w:fill="E6F4EC" w:val="clear"/>
            <w:tcMar>
              <w:top w:type="dxa" w:w="80"/>
              <w:left w:type="dxa" w:w="100"/>
              <w:bottom w:type="dxa" w:w="80"/>
              <w:right w:type="dxa" w:w="100"/>
            </w:tcMar>
            <w:vAlign w:val="center"/>
          </w:tcPr>
          <w:p>
            <w:pPr>
              <w:jc w:val="center"/>
            </w:pPr>
            <w:r>
              <w:rPr>
                <w:rFonts w:ascii="Arial" w:cs="Arial" w:eastAsia="Arial" w:hAnsi="Arial"/>
                <w:b/>
                <w:bCs/>
                <w:color w:val="1A6E3C"/>
                <w:sz w:val="16"/>
                <w:szCs w:val="16"/>
              </w:rPr>
              <w:t xml:space="preserve">Maîtrisé</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val="false"/>
                <w:bCs w:val="false"/>
                <w:i/>
                <w:iCs/>
                <w:color w:val="555555"/>
                <w:sz w:val="15"/>
                <w:szCs w:val="15"/>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i w:val="false"/>
                <w:iCs w:val="false"/>
                <w:color w:val="4A3B8C"/>
                <w:sz w:val="17"/>
                <w:szCs w:val="17"/>
              </w:rPr>
              <w:t xml:space="preserve">C04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Animation formation adultes — andragogie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i/>
                <w:iCs/>
                <w:color w:val="000000"/>
                <w:sz w:val="16"/>
                <w:szCs w:val="16"/>
              </w:rPr>
              <w:t xml:space="preserve">Enseignement effectif depuis 2020 : Jean-Monnet, Lyon 2, Sup de Pub, HEIP — &gt; 5 ans</w:t>
            </w:r>
          </w:p>
        </w:tc>
        <w:tc>
          <w:tcPr>
            <w:tcW w:type="dxa" w:w="1800"/>
            <w:tcBorders>
              <w:top w:val="single" w:color="CCCCCC" w:sz="1"/>
              <w:left w:val="single" w:color="CCCCCC" w:sz="1"/>
              <w:bottom w:val="single" w:color="CCCCCC" w:sz="1"/>
              <w:right w:val="single" w:color="CCCCCC" w:sz="1"/>
            </w:tcBorders>
            <w:shd w:fill="E6F4EC" w:val="clear"/>
            <w:tcMar>
              <w:top w:type="dxa" w:w="80"/>
              <w:left w:type="dxa" w:w="100"/>
              <w:bottom w:type="dxa" w:w="80"/>
              <w:right w:type="dxa" w:w="100"/>
            </w:tcMar>
            <w:vAlign w:val="center"/>
          </w:tcPr>
          <w:p>
            <w:pPr>
              <w:jc w:val="center"/>
            </w:pPr>
            <w:r>
              <w:rPr>
                <w:rFonts w:ascii="Arial" w:cs="Arial" w:eastAsia="Arial" w:hAnsi="Arial"/>
                <w:b/>
                <w:bCs/>
                <w:color w:val="1A6E3C"/>
                <w:sz w:val="16"/>
                <w:szCs w:val="16"/>
              </w:rPr>
              <w:t xml:space="preserve">Maîtrisé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iCs/>
                <w:color w:val="555555"/>
                <w:sz w:val="15"/>
                <w:szCs w:val="15"/>
              </w:rPr>
              <w:t xml:space="preserve">—</w:t>
            </w:r>
          </w:p>
        </w:tc>
      </w:tr>
      <w:tr>
        <w:tc>
          <w:tcPr>
            <w:tcW w:type="dxa" w:w="400"/>
            <w:tcBorders>
              <w:top w:val="single" w:color="CCCCCC" w:sz="1"/>
              <w:left w:val="single" w:color="CCCCCC" w:sz="1"/>
              <w:bottom w:val="single" w:color="CCCCCC" w:sz="1"/>
              <w:right w:val="single" w:color="CCCCCC" w:sz="1"/>
            </w:tcBorders>
            <w:shd w:fill="EAE7F5" w:val="clear"/>
            <w:tcMar>
              <w:top w:type="dxa" w:w="80"/>
              <w:left w:type="dxa" w:w="100"/>
              <w:bottom w:type="dxa" w:w="80"/>
              <w:right w:type="dxa" w:w="100"/>
            </w:tcMar>
            <w:vAlign w:val="center"/>
          </w:tcPr>
          <w:p>
            <w:pPr>
              <w:jc w:val="left"/>
            </w:pPr>
            <w:r>
              <w:rPr>
                <w:rFonts w:ascii="Arial" w:cs="Arial" w:eastAsia="Arial" w:hAnsi="Arial"/>
                <w:b/>
                <w:bCs/>
                <w:i w:val="false"/>
                <w:iCs w:val="false"/>
                <w:color w:val="4A3B8C"/>
                <w:sz w:val="17"/>
                <w:szCs w:val="17"/>
              </w:rPr>
              <w:t xml:space="preserve">C05</w:t>
            </w:r>
          </w:p>
        </w:tc>
        <w:tc>
          <w:tcPr>
            <w:tcW w:type="dxa" w:w="33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Correction individualisée productions écrites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val="false"/>
                <w:bCs w:val="false"/>
                <w:i/>
                <w:iCs/>
                <w:color w:val="000000"/>
                <w:sz w:val="16"/>
                <w:szCs w:val="16"/>
              </w:rPr>
              <w:t xml:space="preserve">Corrections remises sous 72h — attestées par conventions et feuilles émargement</w:t>
            </w:r>
          </w:p>
        </w:tc>
        <w:tc>
          <w:tcPr>
            <w:tcW w:type="dxa" w:w="1800"/>
            <w:tcBorders>
              <w:top w:val="single" w:color="CCCCCC" w:sz="1"/>
              <w:left w:val="single" w:color="CCCCCC" w:sz="1"/>
              <w:bottom w:val="single" w:color="CCCCCC" w:sz="1"/>
              <w:right w:val="single" w:color="CCCCCC" w:sz="1"/>
            </w:tcBorders>
            <w:shd w:fill="E6F4EC" w:val="clear"/>
            <w:tcMar>
              <w:top w:type="dxa" w:w="80"/>
              <w:left w:type="dxa" w:w="100"/>
              <w:bottom w:type="dxa" w:w="80"/>
              <w:right w:type="dxa" w:w="100"/>
            </w:tcMar>
            <w:vAlign w:val="center"/>
          </w:tcPr>
          <w:p>
            <w:pPr>
              <w:jc w:val="center"/>
            </w:pPr>
            <w:r>
              <w:rPr>
                <w:rFonts w:ascii="Arial" w:cs="Arial" w:eastAsia="Arial" w:hAnsi="Arial"/>
                <w:b/>
                <w:bCs/>
                <w:color w:val="1A6E3C"/>
                <w:sz w:val="16"/>
                <w:szCs w:val="16"/>
              </w:rPr>
              <w:t xml:space="preserve">Maîtrisé</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val="false"/>
                <w:bCs w:val="false"/>
                <w:i/>
                <w:iCs/>
                <w:color w:val="555555"/>
                <w:sz w:val="15"/>
                <w:szCs w:val="15"/>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i w:val="false"/>
                <w:iCs w:val="false"/>
                <w:color w:val="4A3B8C"/>
                <w:sz w:val="17"/>
                <w:szCs w:val="17"/>
              </w:rPr>
              <w:t xml:space="preserve">C06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Différenciation pédagogique multi-niveaux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i/>
                <w:iCs/>
                <w:color w:val="000000"/>
                <w:sz w:val="16"/>
                <w:szCs w:val="16"/>
              </w:rPr>
              <w:t xml:space="preserve">Enseignement simultané cat. A et B + formations particuliers sans bagage juridique</w:t>
            </w:r>
          </w:p>
        </w:tc>
        <w:tc>
          <w:tcPr>
            <w:tcW w:type="dxa" w:w="1800"/>
            <w:tcBorders>
              <w:top w:val="single" w:color="CCCCCC" w:sz="1"/>
              <w:left w:val="single" w:color="CCCCCC" w:sz="1"/>
              <w:bottom w:val="single" w:color="CCCCCC" w:sz="1"/>
              <w:right w:val="single" w:color="CCCCCC" w:sz="1"/>
            </w:tcBorders>
            <w:shd w:fill="E6F4EC" w:val="clear"/>
            <w:tcMar>
              <w:top w:type="dxa" w:w="80"/>
              <w:left w:type="dxa" w:w="100"/>
              <w:bottom w:type="dxa" w:w="80"/>
              <w:right w:type="dxa" w:w="100"/>
            </w:tcMar>
            <w:vAlign w:val="center"/>
          </w:tcPr>
          <w:p>
            <w:pPr>
              <w:jc w:val="center"/>
            </w:pPr>
            <w:r>
              <w:rPr>
                <w:rFonts w:ascii="Arial" w:cs="Arial" w:eastAsia="Arial" w:hAnsi="Arial"/>
                <w:b/>
                <w:bCs/>
                <w:color w:val="1A6E3C"/>
                <w:sz w:val="16"/>
                <w:szCs w:val="16"/>
              </w:rPr>
              <w:t xml:space="preserve">Maîtrisé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iCs/>
                <w:color w:val="555555"/>
                <w:sz w:val="15"/>
                <w:szCs w:val="15"/>
              </w:rPr>
              <w:t xml:space="preserve">—</w:t>
            </w:r>
          </w:p>
        </w:tc>
      </w:tr>
      <w:tr>
        <w:tc>
          <w:tcPr>
            <w:tcW w:type="dxa" w:w="400"/>
            <w:tcBorders>
              <w:top w:val="single" w:color="CCCCCC" w:sz="1"/>
              <w:left w:val="single" w:color="CCCCCC" w:sz="1"/>
              <w:bottom w:val="single" w:color="CCCCCC" w:sz="1"/>
              <w:right w:val="single" w:color="CCCCCC" w:sz="1"/>
            </w:tcBorders>
            <w:shd w:fill="EAE7F5" w:val="clear"/>
            <w:tcMar>
              <w:top w:type="dxa" w:w="80"/>
              <w:left w:type="dxa" w:w="100"/>
              <w:bottom w:type="dxa" w:w="80"/>
              <w:right w:type="dxa" w:w="100"/>
            </w:tcMar>
            <w:vAlign w:val="center"/>
          </w:tcPr>
          <w:p>
            <w:pPr>
              <w:jc w:val="left"/>
            </w:pPr>
            <w:r>
              <w:rPr>
                <w:rFonts w:ascii="Arial" w:cs="Arial" w:eastAsia="Arial" w:hAnsi="Arial"/>
                <w:b/>
                <w:bCs/>
                <w:i w:val="false"/>
                <w:iCs w:val="false"/>
                <w:color w:val="4A3B8C"/>
                <w:sz w:val="17"/>
                <w:szCs w:val="17"/>
              </w:rPr>
              <w:t xml:space="preserve">C07</w:t>
            </w:r>
          </w:p>
        </w:tc>
        <w:tc>
          <w:tcPr>
            <w:tcW w:type="dxa" w:w="33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Outils formation à distance (visio, partage documents)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val="false"/>
                <w:bCs w:val="false"/>
                <w:i/>
                <w:iCs/>
                <w:color w:val="000000"/>
                <w:sz w:val="16"/>
                <w:szCs w:val="16"/>
              </w:rPr>
              <w:t xml:space="preserve">Utilisation quotidienne depuis 2020 — sessions distancielles documentées</w:t>
            </w:r>
          </w:p>
        </w:tc>
        <w:tc>
          <w:tcPr>
            <w:tcW w:type="dxa" w:w="1800"/>
            <w:tcBorders>
              <w:top w:val="single" w:color="CCCCCC" w:sz="1"/>
              <w:left w:val="single" w:color="CCCCCC" w:sz="1"/>
              <w:bottom w:val="single" w:color="CCCCCC" w:sz="1"/>
              <w:right w:val="single" w:color="CCCCCC" w:sz="1"/>
            </w:tcBorders>
            <w:shd w:fill="E6F4EC" w:val="clear"/>
            <w:tcMar>
              <w:top w:type="dxa" w:w="80"/>
              <w:left w:type="dxa" w:w="100"/>
              <w:bottom w:type="dxa" w:w="80"/>
              <w:right w:type="dxa" w:w="100"/>
            </w:tcMar>
            <w:vAlign w:val="center"/>
          </w:tcPr>
          <w:p>
            <w:pPr>
              <w:jc w:val="center"/>
            </w:pPr>
            <w:r>
              <w:rPr>
                <w:rFonts w:ascii="Arial" w:cs="Arial" w:eastAsia="Arial" w:hAnsi="Arial"/>
                <w:b/>
                <w:bCs/>
                <w:color w:val="1A6E3C"/>
                <w:sz w:val="16"/>
                <w:szCs w:val="16"/>
              </w:rPr>
              <w:t xml:space="preserve">Maîtrisé</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val="false"/>
                <w:bCs w:val="false"/>
                <w:i/>
                <w:iCs/>
                <w:color w:val="555555"/>
                <w:sz w:val="15"/>
                <w:szCs w:val="15"/>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i w:val="false"/>
                <w:iCs w:val="false"/>
                <w:color w:val="4A3B8C"/>
                <w:sz w:val="17"/>
                <w:szCs w:val="17"/>
              </w:rPr>
              <w:t xml:space="preserve">C08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Obligations légales FP (RGPD, handicap, RNQ)</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i/>
                <w:iCs/>
                <w:color w:val="000000"/>
                <w:sz w:val="16"/>
                <w:szCs w:val="16"/>
              </w:rPr>
              <w:t xml:space="preserve">Préparation dossier Qualiopi + politique PSH rédigée + formation auto-dirigée</w:t>
            </w:r>
          </w:p>
        </w:tc>
        <w:tc>
          <w:tcPr>
            <w:tcW w:type="dxa" w:w="1800"/>
            <w:tcBorders>
              <w:top w:val="single" w:color="CCCCCC" w:sz="1"/>
              <w:left w:val="single" w:color="CCCCCC" w:sz="1"/>
              <w:bottom w:val="single" w:color="CCCCCC" w:sz="1"/>
              <w:right w:val="single" w:color="CCCCCC" w:sz="1"/>
            </w:tcBorders>
            <w:shd w:fill="FFF3E6" w:val="clear"/>
            <w:tcMar>
              <w:top w:type="dxa" w:w="80"/>
              <w:left w:type="dxa" w:w="100"/>
              <w:bottom w:type="dxa" w:w="80"/>
              <w:right w:type="dxa" w:w="100"/>
            </w:tcMar>
            <w:vAlign w:val="center"/>
          </w:tcPr>
          <w:p>
            <w:pPr>
              <w:jc w:val="center"/>
            </w:pPr>
            <w:r>
              <w:rPr>
                <w:rFonts w:ascii="Arial" w:cs="Arial" w:eastAsia="Arial" w:hAnsi="Arial"/>
                <w:b/>
                <w:bCs/>
                <w:color w:val="C05A00"/>
                <w:sz w:val="16"/>
                <w:szCs w:val="16"/>
              </w:rPr>
              <w:t xml:space="preserve">En cours de développement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iCs/>
                <w:color w:val="C05A00"/>
                <w:sz w:val="15"/>
                <w:szCs w:val="15"/>
              </w:rPr>
              <w:t xml:space="preserve">Veille réglementaire — voir PDC ART-PDC-001</w:t>
            </w:r>
          </w:p>
        </w:tc>
      </w:tr>
    </w:tbl>
    <w:p>
      <w:pPr>
        <w:spacing w:before="100" w:after="0"/>
        <w:jc w:val="left"/>
      </w:pPr>
      <w:r>
        <w:rPr>
          <w:rFonts w:ascii="Arial" w:cs="Arial" w:eastAsia="Arial" w:hAnsi="Arial"/>
          <w:b w:val="false"/>
          <w:bCs w:val="false"/>
          <w:i w:val="false"/>
          <w:iCs w:val="false"/>
          <w:color w:val="000000"/>
          <w:sz w:val="20"/>
          <w:szCs w:val="20"/>
        </w:rPr>
        <w:t xml:space="preserve"/>
      </w:r>
    </w:p>
    <w:p>
      <w:pPr>
        <w:pBdr>
          <w:bottom w:val="single" w:color="4A3B8C" w:sz="4"/>
        </w:pBdr>
        <w:spacing w:before="260" w:after="100"/>
      </w:pPr>
      <w:r>
        <w:rPr>
          <w:rFonts w:ascii="Arial" w:cs="Arial" w:eastAsia="Arial" w:hAnsi="Arial"/>
          <w:b/>
          <w:bCs/>
          <w:color w:val="4A3B8C"/>
          <w:sz w:val="24"/>
          <w:szCs w:val="24"/>
        </w:rPr>
        <w:t xml:space="preserve">Partie 3 — Procédure d'évaluation des intervenants externes</w:t>
      </w:r>
    </w:p>
    <w:p>
      <w:pPr>
        <w:spacing w:before="80" w:after="80"/>
        <w:jc w:val="left"/>
      </w:pPr>
      <w:r>
        <w:rPr>
          <w:rFonts w:ascii="Arial" w:cs="Arial" w:eastAsia="Arial" w:hAnsi="Arial"/>
          <w:b w:val="false"/>
          <w:bCs w:val="false"/>
          <w:i w:val="false"/>
          <w:iCs w:val="false"/>
          <w:color w:val="000000"/>
          <w:sz w:val="20"/>
          <w:szCs w:val="20"/>
        </w:rPr>
        <w:t xml:space="preserve">Si Artémis Prépa fait appel à un formateur externe (sous-traitant ou vacataire), la procédure suivante s'applique avant toute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200"/>
        <w:gridCol w:w="2360"/>
      </w:tblGrid>
      <w:tr>
        <w:tc>
          <w:tcPr>
            <w:tcW w:type="dxa" w:w="400"/>
            <w:tcBorders>
              <w:top w:val="single" w:color="CCCCCC" w:sz="1"/>
              <w:left w:val="single" w:color="CCCCCC" w:sz="1"/>
              <w:bottom w:val="single" w:color="CCCCCC" w:sz="1"/>
              <w:right w:val="single" w:color="CCCCCC" w:sz="1"/>
            </w:tcBorders>
            <w:shd w:fill="4A3B8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N°</w:t>
            </w:r>
          </w:p>
        </w:tc>
        <w:tc>
          <w:tcPr>
            <w:tcW w:type="dxa" w:w="2400"/>
            <w:tcBorders>
              <w:top w:val="single" w:color="CCCCCC" w:sz="1"/>
              <w:left w:val="single" w:color="CCCCCC" w:sz="1"/>
              <w:bottom w:val="single" w:color="CCCCCC" w:sz="1"/>
              <w:right w:val="single" w:color="CCCCCC" w:sz="1"/>
            </w:tcBorders>
            <w:shd w:fill="4A3B8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Étape</w:t>
            </w:r>
          </w:p>
        </w:tc>
        <w:tc>
          <w:tcPr>
            <w:tcW w:type="dxa" w:w="4200"/>
            <w:tcBorders>
              <w:top w:val="single" w:color="CCCCCC" w:sz="1"/>
              <w:left w:val="single" w:color="CCCCCC" w:sz="1"/>
              <w:bottom w:val="single" w:color="CCCCCC" w:sz="1"/>
              <w:right w:val="single" w:color="CCCCCC" w:sz="1"/>
            </w:tcBorders>
            <w:shd w:fill="4A3B8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Modalité</w:t>
            </w:r>
          </w:p>
        </w:tc>
        <w:tc>
          <w:tcPr>
            <w:tcW w:type="dxa" w:w="2360"/>
            <w:tcBorders>
              <w:top w:val="single" w:color="CCCCCC" w:sz="1"/>
              <w:left w:val="single" w:color="CCCCCC" w:sz="1"/>
              <w:bottom w:val="single" w:color="CCCCCC" w:sz="1"/>
              <w:right w:val="single" w:color="CCCCCC" w:sz="1"/>
            </w:tcBorders>
            <w:shd w:fill="4A3B8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Preuve produite</w:t>
            </w:r>
          </w:p>
        </w:tc>
      </w:tr>
      <w:tr>
        <w:tc>
          <w:tcPr>
            <w:tcW w:type="dxa" w:w="400"/>
            <w:tcBorders>
              <w:top w:val="single" w:color="CCCCCC" w:sz="1"/>
              <w:left w:val="single" w:color="CCCCCC" w:sz="1"/>
              <w:bottom w:val="single" w:color="CCCCCC" w:sz="1"/>
              <w:right w:val="single" w:color="CCCCCC" w:sz="1"/>
            </w:tcBorders>
            <w:shd w:fill="EAE7F5" w:val="clear"/>
            <w:tcMar>
              <w:top w:type="dxa" w:w="80"/>
              <w:left w:type="dxa" w:w="60"/>
              <w:bottom w:type="dxa" w:w="80"/>
              <w:right w:type="dxa" w:w="60"/>
            </w:tcMar>
            <w:vAlign w:val="center"/>
          </w:tcPr>
          <w:p>
            <w:pPr>
              <w:jc w:val="center"/>
            </w:pPr>
            <w:r>
              <w:rPr>
                <w:rFonts w:ascii="Arial" w:cs="Arial" w:eastAsia="Arial" w:hAnsi="Arial"/>
                <w:b/>
                <w:bCs/>
                <w:color w:val="4A3B8C"/>
                <w:sz w:val="18"/>
                <w:szCs w:val="18"/>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bCs/>
                <w:i w:val="false"/>
                <w:iCs w:val="false"/>
                <w:color w:val="000000"/>
                <w:sz w:val="17"/>
                <w:szCs w:val="17"/>
              </w:rPr>
              <w:t xml:space="preserve">Définition des compétences requises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Utilisation du référentiel partie 1 — identification des codes compétences applicables à la mission</w:t>
            </w:r>
          </w:p>
        </w:tc>
        <w:tc>
          <w:tcPr>
            <w:tcW w:type="dxa" w:w="2360"/>
            <w:tcBorders>
              <w:top w:val="single" w:color="CCCCCC" w:sz="1"/>
              <w:left w:val="single" w:color="CCCCCC" w:sz="1"/>
              <w:bottom w:val="single" w:color="CCCCCC" w:sz="1"/>
              <w:right w:val="single" w:color="CCCCCC" w:sz="1"/>
            </w:tcBorders>
            <w:shd w:fill="E6F4EC" w:val="clear"/>
            <w:tcMar>
              <w:top w:type="dxa" w:w="80"/>
              <w:left w:type="dxa" w:w="100"/>
              <w:bottom w:type="dxa" w:w="80"/>
              <w:right w:type="dxa" w:w="100"/>
            </w:tcMar>
            <w:vAlign w:val="top"/>
          </w:tcPr>
          <w:p>
            <w:pPr>
              <w:jc w:val="left"/>
            </w:pPr>
            <w:r>
              <w:rPr>
                <w:rFonts w:ascii="Arial" w:cs="Arial" w:eastAsia="Arial" w:hAnsi="Arial"/>
                <w:b/>
                <w:bCs/>
                <w:i w:val="false"/>
                <w:iCs w:val="false"/>
                <w:color w:val="1A6E3C"/>
                <w:sz w:val="15"/>
                <w:szCs w:val="15"/>
              </w:rPr>
              <w:t xml:space="preserve">Fiche de poste / cahier des charges mission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4A3B8C"/>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bCs/>
                <w:i w:val="false"/>
                <w:iCs w:val="false"/>
                <w:color w:val="000000"/>
                <w:sz w:val="17"/>
                <w:szCs w:val="17"/>
              </w:rPr>
              <w:t xml:space="preserve">Analyse du CV et diplômes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Vérification de l'adéquation entre le parcours déclaré et les compétences requises (codes C01-C08)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bCs/>
                <w:i w:val="false"/>
                <w:iCs w:val="false"/>
                <w:color w:val="1A6E3C"/>
                <w:sz w:val="15"/>
                <w:szCs w:val="15"/>
              </w:rPr>
              <w:t xml:space="preserve">CV archivé + grille adéquation complétée</w:t>
            </w:r>
          </w:p>
        </w:tc>
      </w:tr>
      <w:tr>
        <w:tc>
          <w:tcPr>
            <w:tcW w:type="dxa" w:w="400"/>
            <w:tcBorders>
              <w:top w:val="single" w:color="CCCCCC" w:sz="1"/>
              <w:left w:val="single" w:color="CCCCCC" w:sz="1"/>
              <w:bottom w:val="single" w:color="CCCCCC" w:sz="1"/>
              <w:right w:val="single" w:color="CCCCCC" w:sz="1"/>
            </w:tcBorders>
            <w:shd w:fill="EAE7F5" w:val="clear"/>
            <w:tcMar>
              <w:top w:type="dxa" w:w="80"/>
              <w:left w:type="dxa" w:w="60"/>
              <w:bottom w:type="dxa" w:w="80"/>
              <w:right w:type="dxa" w:w="60"/>
            </w:tcMar>
            <w:vAlign w:val="center"/>
          </w:tcPr>
          <w:p>
            <w:pPr>
              <w:jc w:val="center"/>
            </w:pPr>
            <w:r>
              <w:rPr>
                <w:rFonts w:ascii="Arial" w:cs="Arial" w:eastAsia="Arial" w:hAnsi="Arial"/>
                <w:b/>
                <w:bCs/>
                <w:color w:val="4A3B8C"/>
                <w:sz w:val="18"/>
                <w:szCs w:val="18"/>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bCs/>
                <w:i w:val="false"/>
                <w:iCs w:val="false"/>
                <w:color w:val="000000"/>
                <w:sz w:val="17"/>
                <w:szCs w:val="17"/>
              </w:rPr>
              <w:t xml:space="preserve">Entretien de recrutement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Entretien structuré (30 min min.) — questions couvrant les compétences métier ET pédagogiques — possibilité de mise en situation</w:t>
            </w:r>
          </w:p>
        </w:tc>
        <w:tc>
          <w:tcPr>
            <w:tcW w:type="dxa" w:w="2360"/>
            <w:tcBorders>
              <w:top w:val="single" w:color="CCCCCC" w:sz="1"/>
              <w:left w:val="single" w:color="CCCCCC" w:sz="1"/>
              <w:bottom w:val="single" w:color="CCCCCC" w:sz="1"/>
              <w:right w:val="single" w:color="CCCCCC" w:sz="1"/>
            </w:tcBorders>
            <w:shd w:fill="E6F4EC" w:val="clear"/>
            <w:tcMar>
              <w:top w:type="dxa" w:w="80"/>
              <w:left w:type="dxa" w:w="100"/>
              <w:bottom w:type="dxa" w:w="80"/>
              <w:right w:type="dxa" w:w="100"/>
            </w:tcMar>
            <w:vAlign w:val="top"/>
          </w:tcPr>
          <w:p>
            <w:pPr>
              <w:jc w:val="left"/>
            </w:pPr>
            <w:r>
              <w:rPr>
                <w:rFonts w:ascii="Arial" w:cs="Arial" w:eastAsia="Arial" w:hAnsi="Arial"/>
                <w:b/>
                <w:bCs/>
                <w:i w:val="false"/>
                <w:iCs w:val="false"/>
                <w:color w:val="1A6E3C"/>
                <w:sz w:val="15"/>
                <w:szCs w:val="15"/>
              </w:rPr>
              <w:t xml:space="preserve">Note d'entretien datée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4A3B8C"/>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bCs/>
                <w:i w:val="false"/>
                <w:iCs w:val="false"/>
                <w:color w:val="000000"/>
                <w:sz w:val="17"/>
                <w:szCs w:val="17"/>
              </w:rPr>
              <w:t xml:space="preserve">Vérification des références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Contact avec 1 référence professionnelle minimum si première collaboration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bCs/>
                <w:i w:val="false"/>
                <w:iCs w:val="false"/>
                <w:color w:val="1A6E3C"/>
                <w:sz w:val="15"/>
                <w:szCs w:val="15"/>
              </w:rPr>
              <w:t xml:space="preserve">Note de vérification des références</w:t>
            </w:r>
          </w:p>
        </w:tc>
      </w:tr>
      <w:tr>
        <w:tc>
          <w:tcPr>
            <w:tcW w:type="dxa" w:w="400"/>
            <w:tcBorders>
              <w:top w:val="single" w:color="CCCCCC" w:sz="1"/>
              <w:left w:val="single" w:color="CCCCCC" w:sz="1"/>
              <w:bottom w:val="single" w:color="CCCCCC" w:sz="1"/>
              <w:right w:val="single" w:color="CCCCCC" w:sz="1"/>
            </w:tcBorders>
            <w:shd w:fill="EAE7F5" w:val="clear"/>
            <w:tcMar>
              <w:top w:type="dxa" w:w="80"/>
              <w:left w:type="dxa" w:w="60"/>
              <w:bottom w:type="dxa" w:w="80"/>
              <w:right w:type="dxa" w:w="60"/>
            </w:tcMar>
            <w:vAlign w:val="center"/>
          </w:tcPr>
          <w:p>
            <w:pPr>
              <w:jc w:val="center"/>
            </w:pPr>
            <w:r>
              <w:rPr>
                <w:rFonts w:ascii="Arial" w:cs="Arial" w:eastAsia="Arial" w:hAnsi="Arial"/>
                <w:b/>
                <w:bCs/>
                <w:color w:val="4A3B8C"/>
                <w:sz w:val="18"/>
                <w:szCs w:val="18"/>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bCs/>
                <w:i w:val="false"/>
                <w:iCs w:val="false"/>
                <w:color w:val="000000"/>
                <w:sz w:val="17"/>
                <w:szCs w:val="17"/>
              </w:rPr>
              <w:t xml:space="preserve">Convention et obligations qualité</w:t>
            </w:r>
          </w:p>
        </w:tc>
        <w:tc>
          <w:tcPr>
            <w:tcW w:type="dxa" w:w="4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Signature du contrat de prestation ART-CST-001 — clause qualité Qualiopi incluse</w:t>
            </w:r>
          </w:p>
        </w:tc>
        <w:tc>
          <w:tcPr>
            <w:tcW w:type="dxa" w:w="2360"/>
            <w:tcBorders>
              <w:top w:val="single" w:color="CCCCCC" w:sz="1"/>
              <w:left w:val="single" w:color="CCCCCC" w:sz="1"/>
              <w:bottom w:val="single" w:color="CCCCCC" w:sz="1"/>
              <w:right w:val="single" w:color="CCCCCC" w:sz="1"/>
            </w:tcBorders>
            <w:shd w:fill="E6F4EC" w:val="clear"/>
            <w:tcMar>
              <w:top w:type="dxa" w:w="80"/>
              <w:left w:type="dxa" w:w="100"/>
              <w:bottom w:type="dxa" w:w="80"/>
              <w:right w:type="dxa" w:w="100"/>
            </w:tcMar>
            <w:vAlign w:val="top"/>
          </w:tcPr>
          <w:p>
            <w:pPr>
              <w:jc w:val="left"/>
            </w:pPr>
            <w:r>
              <w:rPr>
                <w:rFonts w:ascii="Arial" w:cs="Arial" w:eastAsia="Arial" w:hAnsi="Arial"/>
                <w:b/>
                <w:bCs/>
                <w:i w:val="false"/>
                <w:iCs w:val="false"/>
                <w:color w:val="1A6E3C"/>
                <w:sz w:val="15"/>
                <w:szCs w:val="15"/>
              </w:rPr>
              <w:t xml:space="preserve">ART-CST-001 signé</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4A3B8C"/>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bCs/>
                <w:i w:val="false"/>
                <w:iCs w:val="false"/>
                <w:color w:val="000000"/>
                <w:sz w:val="17"/>
                <w:szCs w:val="17"/>
              </w:rPr>
              <w:t xml:space="preserve">Évaluation en cours d'intervention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Retours stagiaires (éval. à chaud) + observation si possible + débriefing post-session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left"/>
            </w:pPr>
            <w:r>
              <w:rPr>
                <w:rFonts w:ascii="Arial" w:cs="Arial" w:eastAsia="Arial" w:hAnsi="Arial"/>
                <w:b/>
                <w:bCs/>
                <w:i w:val="false"/>
                <w:iCs w:val="false"/>
                <w:color w:val="1A6E3C"/>
                <w:sz w:val="15"/>
                <w:szCs w:val="15"/>
              </w:rPr>
              <w:t xml:space="preserve">ART-EVAL-C-001 + note débriefing</w:t>
            </w:r>
          </w:p>
        </w:tc>
      </w:tr>
      <w:tr>
        <w:tc>
          <w:tcPr>
            <w:tcW w:type="dxa" w:w="400"/>
            <w:tcBorders>
              <w:top w:val="single" w:color="CCCCCC" w:sz="1"/>
              <w:left w:val="single" w:color="CCCCCC" w:sz="1"/>
              <w:bottom w:val="single" w:color="CCCCCC" w:sz="1"/>
              <w:right w:val="single" w:color="CCCCCC" w:sz="1"/>
            </w:tcBorders>
            <w:shd w:fill="EAE7F5" w:val="clear"/>
            <w:tcMar>
              <w:top w:type="dxa" w:w="80"/>
              <w:left w:type="dxa" w:w="60"/>
              <w:bottom w:type="dxa" w:w="80"/>
              <w:right w:type="dxa" w:w="60"/>
            </w:tcMar>
            <w:vAlign w:val="center"/>
          </w:tcPr>
          <w:p>
            <w:pPr>
              <w:jc w:val="center"/>
            </w:pPr>
            <w:r>
              <w:rPr>
                <w:rFonts w:ascii="Arial" w:cs="Arial" w:eastAsia="Arial" w:hAnsi="Arial"/>
                <w:b/>
                <w:bCs/>
                <w:color w:val="4A3B8C"/>
                <w:sz w:val="18"/>
                <w:szCs w:val="18"/>
              </w:rPr>
              <w:t xml:space="preserve">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bCs/>
                <w:i w:val="false"/>
                <w:iCs w:val="false"/>
                <w:color w:val="000000"/>
                <w:sz w:val="17"/>
                <w:szCs w:val="17"/>
              </w:rPr>
              <w:t xml:space="preserve">Évaluation annuelle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top"/>
          </w:tcPr>
          <w:p>
            <w:pPr>
              <w:jc w:val="left"/>
            </w:pPr>
            <w:r>
              <w:rPr>
                <w:rFonts w:ascii="Arial" w:cs="Arial" w:eastAsia="Arial" w:hAnsi="Arial"/>
                <w:b w:val="false"/>
                <w:bCs w:val="false"/>
                <w:i w:val="false"/>
                <w:iCs w:val="false"/>
                <w:color w:val="000000"/>
                <w:sz w:val="17"/>
                <w:szCs w:val="17"/>
              </w:rPr>
              <w:t xml:space="preserve">Bilan annuel des interventions — maintien ou non de la collaboration</w:t>
            </w:r>
          </w:p>
        </w:tc>
        <w:tc>
          <w:tcPr>
            <w:tcW w:type="dxa" w:w="2360"/>
            <w:tcBorders>
              <w:top w:val="single" w:color="CCCCCC" w:sz="1"/>
              <w:left w:val="single" w:color="CCCCCC" w:sz="1"/>
              <w:bottom w:val="single" w:color="CCCCCC" w:sz="1"/>
              <w:right w:val="single" w:color="CCCCCC" w:sz="1"/>
            </w:tcBorders>
            <w:shd w:fill="E6F4EC" w:val="clear"/>
            <w:tcMar>
              <w:top w:type="dxa" w:w="80"/>
              <w:left w:type="dxa" w:w="100"/>
              <w:bottom w:type="dxa" w:w="80"/>
              <w:right w:type="dxa" w:w="100"/>
            </w:tcMar>
            <w:vAlign w:val="top"/>
          </w:tcPr>
          <w:p>
            <w:pPr>
              <w:jc w:val="left"/>
            </w:pPr>
            <w:r>
              <w:rPr>
                <w:rFonts w:ascii="Arial" w:cs="Arial" w:eastAsia="Arial" w:hAnsi="Arial"/>
                <w:b/>
                <w:bCs/>
                <w:i w:val="false"/>
                <w:iCs w:val="false"/>
                <w:color w:val="1A6E3C"/>
                <w:sz w:val="15"/>
                <w:szCs w:val="15"/>
              </w:rPr>
              <w:t xml:space="preserve">CR évaluation annuelle daté</w:t>
            </w:r>
          </w:p>
        </w:tc>
      </w:tr>
    </w:tbl>
    <w:p>
      <w:pPr>
        <w:spacing w:before="100" w:after="0"/>
        <w:jc w:val="left"/>
      </w:pPr>
      <w:r>
        <w:rPr>
          <w:rFonts w:ascii="Arial" w:cs="Arial" w:eastAsia="Arial" w:hAnsi="Arial"/>
          <w:b w:val="false"/>
          <w:bCs w:val="false"/>
          <w:i w:val="false"/>
          <w:iCs w:val="false"/>
          <w:color w:val="000000"/>
          <w:sz w:val="20"/>
          <w:szCs w:val="20"/>
        </w:rPr>
        <w:t xml:space="preserve"/>
      </w:r>
    </w:p>
    <w:p>
      <w:pPr>
        <w:pBdr>
          <w:bottom w:val="single" w:color="4A3B8C" w:sz="4"/>
        </w:pBdr>
        <w:spacing w:before="260" w:after="100"/>
      </w:pPr>
      <w:r>
        <w:rPr>
          <w:rFonts w:ascii="Arial" w:cs="Arial" w:eastAsia="Arial" w:hAnsi="Arial"/>
          <w:b/>
          <w:bCs/>
          <w:color w:val="4A3B8C"/>
          <w:sz w:val="24"/>
          <w:szCs w:val="24"/>
        </w:rPr>
        <w:t xml:space="preserve">Signature et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Borders>
              <w:top w:val="single" w:color="CCCCCC" w:sz="1"/>
              <w:left w:val="single" w:color="CCCCCC" w:sz="1"/>
              <w:bottom w:val="single" w:color="CCCCCC" w:sz="1"/>
              <w:right w:val="single" w:color="CCCCCC" w:sz="1"/>
            </w:tcBorders>
            <w:tcMar>
              <w:top w:type="dxa" w:w="100"/>
              <w:left w:type="dxa" w:w="200"/>
              <w:bottom w:type="dxa" w:w="180"/>
              <w:right w:type="dxa" w:w="200"/>
            </w:tcMar>
          </w:tcPr>
          <w:p>
            <w:pPr>
              <w:spacing w:before="80" w:after="80"/>
              <w:jc w:val="left"/>
            </w:pPr>
            <w:r>
              <w:rPr>
                <w:rFonts w:ascii="Arial" w:cs="Arial" w:eastAsia="Arial" w:hAnsi="Arial"/>
                <w:b w:val="false"/>
                <w:bCs w:val="false"/>
                <w:i w:val="false"/>
                <w:iCs w:val="false"/>
                <w:color w:val="000000"/>
                <w:sz w:val="18"/>
                <w:szCs w:val="18"/>
              </w:rPr>
              <w:t xml:space="preserve">Fait à : _____________  Le : _____________</w:t>
            </w:r>
          </w:p>
          <w:p>
            <w:pPr>
              <w:spacing w:before="40" w:after="80"/>
              <w:jc w:val="left"/>
            </w:pPr>
            <w:r>
              <w:rPr>
                <w:rFonts w:ascii="Arial" w:cs="Arial" w:eastAsia="Arial" w:hAnsi="Arial"/>
                <w:b/>
                <w:bCs/>
                <w:i w:val="false"/>
                <w:iCs w:val="false"/>
                <w:color w:val="4A3B8C"/>
                <w:sz w:val="18"/>
                <w:szCs w:val="18"/>
              </w:rPr>
              <w:t xml:space="preserve">Camille Chapuis — Responsable Artémis Prépa</w:t>
            </w:r>
          </w:p>
          <w:p>
            <w:pPr>
              <w:spacing w:before="60" w:after="80"/>
              <w:jc w:val="left"/>
            </w:pPr>
            <w:r>
              <w:rPr>
                <w:rFonts w:ascii="Arial" w:cs="Arial" w:eastAsia="Arial" w:hAnsi="Arial"/>
                <w:b w:val="false"/>
                <w:bCs w:val="false"/>
                <w:i w:val="false"/>
                <w:iCs w:val="false"/>
                <w:color w:val="000000"/>
                <w:sz w:val="18"/>
                <w:szCs w:val="18"/>
              </w:rPr>
              <w:t xml:space="preserve">Signature : ___________________________</w:t>
            </w:r>
          </w:p>
        </w:tc>
        <w:tc>
          <w:tcPr>
            <w:tcW w:type="dxa" w:w="360"/>
            <w:tcBorders>
              <w:top w:val="none" w:color="FFFFFF" w:sz="0"/>
              <w:left w:val="none" w:color="FFFFFF" w:sz="0"/>
              <w:bottom w:val="none" w:color="FFFFFF" w:sz="0"/>
              <w:right w:val="none" w:color="FFFFFF" w:sz="0"/>
            </w:tcBorders>
          </w:tcPr>
          <w:p>
            <w:pPr>
              <w:spacing w:before="80" w:after="80"/>
              <w:jc w:val="left"/>
            </w:pPr>
            <w:r>
              <w:rPr>
                <w:rFonts w:ascii="Arial" w:cs="Arial" w:eastAsia="Arial" w:hAnsi="Arial"/>
                <w:b w:val="false"/>
                <w:bCs w:val="false"/>
                <w:i w:val="false"/>
                <w:iCs w:val="false"/>
                <w:color w:val="000000"/>
                <w:sz w:val="20"/>
                <w:szCs w:val="20"/>
              </w:rPr>
              <w:t xml:space="preserve"/>
            </w:r>
          </w:p>
        </w:tc>
        <w:tc>
          <w:tcPr>
            <w:tcBorders>
              <w:top w:val="single" w:color="CCCCCC" w:sz="1"/>
              <w:left w:val="single" w:color="CCCCCC" w:sz="1"/>
              <w:bottom w:val="single" w:color="CCCCCC" w:sz="1"/>
              <w:right w:val="single" w:color="CCCCCC" w:sz="1"/>
            </w:tcBorders>
            <w:shd w:fill="EAE7F5" w:val="clear"/>
            <w:tcMar>
              <w:top w:type="dxa" w:w="100"/>
              <w:left w:type="dxa" w:w="200"/>
              <w:bottom w:type="dxa" w:w="180"/>
              <w:right w:type="dxa" w:w="200"/>
            </w:tcMar>
          </w:tcPr>
          <w:p>
            <w:pPr>
              <w:spacing w:before="80" w:after="80"/>
              <w:jc w:val="left"/>
            </w:pPr>
            <w:r>
              <w:rPr>
                <w:rFonts w:ascii="Arial" w:cs="Arial" w:eastAsia="Arial" w:hAnsi="Arial"/>
                <w:b/>
                <w:bCs/>
                <w:i w:val="false"/>
                <w:iCs w:val="false"/>
                <w:color w:val="4A3B8C"/>
                <w:sz w:val="18"/>
                <w:szCs w:val="18"/>
              </w:rPr>
              <w:t xml:space="preserve">Prochaine révision :</w:t>
            </w:r>
          </w:p>
          <w:p>
            <w:pPr>
              <w:spacing w:before="80" w:after="80"/>
              <w:jc w:val="left"/>
            </w:pPr>
            <w:r>
              <w:rPr>
                <w:rFonts w:ascii="Arial" w:cs="Arial" w:eastAsia="Arial" w:hAnsi="Arial"/>
                <w:b w:val="false"/>
                <w:bCs w:val="false"/>
                <w:i/>
                <w:iCs/>
                <w:color w:val="000000"/>
                <w:sz w:val="17"/>
                <w:szCs w:val="17"/>
              </w:rPr>
              <w:t xml:space="preserve">[JJ/MM/AAAA] — annuelle ou après recrutement intervenant</w:t>
            </w:r>
          </w:p>
          <w:p>
            <w:pPr>
              <w:spacing w:before="40" w:after="80"/>
              <w:jc w:val="left"/>
            </w:pPr>
            <w:r>
              <w:rPr>
                <w:rFonts w:ascii="Arial" w:cs="Arial" w:eastAsia="Arial" w:hAnsi="Arial"/>
                <w:b/>
                <w:bCs/>
                <w:i w:val="false"/>
                <w:iCs w:val="false"/>
                <w:color w:val="4A3B8C"/>
                <w:sz w:val="18"/>
                <w:szCs w:val="18"/>
              </w:rPr>
              <w:t xml:space="preserve">Documents associés :</w:t>
            </w:r>
          </w:p>
          <w:p>
            <w:pPr>
              <w:spacing w:before="80" w:after="80"/>
              <w:jc w:val="left"/>
            </w:pPr>
            <w:r>
              <w:rPr>
                <w:rFonts w:ascii="Arial" w:cs="Arial" w:eastAsia="Arial" w:hAnsi="Arial"/>
                <w:b w:val="false"/>
                <w:bCs w:val="false"/>
                <w:i w:val="false"/>
                <w:iCs w:val="false"/>
                <w:color w:val="000000"/>
                <w:sz w:val="16"/>
                <w:szCs w:val="16"/>
              </w:rPr>
              <w:t xml:space="preserve">ART-CV-001 · ART-PDC-001 · ART-CST-001</w:t>
            </w:r>
          </w:p>
        </w:tc>
      </w:tr>
    </w:tbl>
    <w:p>
      <w:pPr>
        <w:spacing w:before="100" w:after="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E3C" w:sz="6"/>
              <w:left w:val="single" w:color="CCCCCC" w:sz="1"/>
              <w:bottom w:val="single" w:color="CCCCCC" w:sz="1"/>
              <w:right w:val="single" w:color="CCCCCC" w:sz="1"/>
            </w:tcBorders>
            <w:shd w:fill="E6F4EC" w:val="clear"/>
            <w:tcMar>
              <w:top w:type="dxa" w:w="120"/>
              <w:left w:type="dxa" w:w="200"/>
              <w:bottom w:type="dxa" w:w="120"/>
              <w:right w:type="dxa" w:w="200"/>
            </w:tcMar>
          </w:tcPr>
          <w:p>
            <w:pPr>
              <w:spacing w:before="80" w:after="80"/>
              <w:jc w:val="left"/>
            </w:pPr>
            <w:r>
              <w:rPr>
                <w:rFonts w:ascii="Arial" w:cs="Arial" w:eastAsia="Arial" w:hAnsi="Arial"/>
                <w:b w:val="false"/>
                <w:bCs w:val="false"/>
                <w:i/>
                <w:iCs/>
                <w:color w:val="555555"/>
                <w:sz w:val="19"/>
                <w:szCs w:val="19"/>
              </w:rPr>
              <w:t xml:space="preserve">Preuve de l'indicateur 21 (SUPER INDICATEUR) — Ce document démontre : (1) les compétences requises sont définies par formation, (2) la maîtrise par Camille Chapuis est évaluée et tracée, (3) une procédure existe pour tout intervenant externe. À compléter d'une grille identique pour chaque sous-traitant.</w:t>
            </w:r>
          </w:p>
        </w:tc>
      </w:tr>
    </w:tbl>
    <w:sectPr>
      <w:footerReference w:type="default" r:id="rId6"/>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3B8C" w:sz="2"/>
      </w:pBdr>
      <w:spacing w:before="80"/>
      <w:jc w:val="center"/>
    </w:pPr>
    <w:r>
      <w:rPr>
        <w:rFonts w:ascii="Arial" w:cs="Arial" w:eastAsia="Arial" w:hAnsi="Arial"/>
        <w:color w:val="555555"/>
        <w:sz w:val="16"/>
        <w:szCs w:val="16"/>
      </w:rPr>
      <w:t xml:space="preserve">Artémis Prépa — contact@artemis-prepa.fr — artemis-prepa.fr  |  Référentiel compétences + grille adéquation — Réf. ART-COMP-001 — Indicateur 21 RNQ · SUPER INDICATEUR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2026-03-24T13:53:57.665Z</dcterms:created>
  <dcterms:modified xsi:type="dcterms:W3CDTF">2026-03-24T13:53:57.665Z</dcterms:modified>
</cp:coreProperties>
</file>

<file path=docProps/custom.xml><?xml version="1.0" encoding="utf-8"?>
<Properties xmlns="http://schemas.openxmlformats.org/officeDocument/2006/custom-properties" xmlns:vt="http://schemas.openxmlformats.org/officeDocument/2006/docPropsVTypes"/>
</file>