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D4A017"/>
          <w:sz w:val="96"/>
          <w:szCs w:val="96"/>
        </w:rPr>
        <w:t xml:space="preserve">KNIGHT ADS</w:t>
      </w:r>
    </w:p>
    <w:p>
      <w:pPr>
        <w:spacing w:after="200"/>
        <w:jc w:val="center"/>
      </w:pPr>
      <w:r>
        <w:rPr>
          <w:color w:val="1A1A2E"/>
          <w:sz w:val="36"/>
          <w:szCs w:val="36"/>
        </w:rPr>
        <w:t xml:space="preserve">Plataforma de Publicidad Descentralizada</w:t>
      </w:r>
    </w:p>
    <w:p>
      <w:pPr>
        <w:spacing w:after="600"/>
        <w:jc w:val="center"/>
      </w:pPr>
      <w:r>
        <w:rPr>
          <w:i/>
          <w:iCs/>
          <w:color w:val="475569"/>
          <w:sz w:val="28"/>
          <w:szCs w:val="28"/>
        </w:rPr>
        <w:t xml:space="preserve">Red Solana · Token $Knight</w:t>
      </w:r>
    </w:p>
    <w:p>
      <w:pPr>
        <w:spacing w:after="120"/>
        <w:jc w:val="center"/>
      </w:pPr>
      <w:r>
        <w:rPr>
          <w:b/>
          <w:bCs/>
          <w:color w:val="4F46E5"/>
          <w:sz w:val="32"/>
          <w:szCs w:val="32"/>
        </w:rPr>
        <w:t xml:space="preserve">DOCUMENTACIÓN OFICIAL</w:t>
      </w:r>
    </w:p>
    <w:p>
      <w:pPr>
        <w:spacing w:after="80"/>
        <w:jc w:val="center"/>
      </w:pPr>
      <w:r>
        <w:rPr>
          <w:color w:val="475569"/>
          <w:sz w:val="24"/>
          <w:szCs w:val="24"/>
        </w:rPr>
        <w:t xml:space="preserve">Versión 2.4 · Documento Maestro de Diseño Estructural</w:t>
      </w:r>
    </w:p>
    <w:p>
      <w:pPr>
        <w:spacing w:after="80"/>
        <w:jc w:val="center"/>
      </w:pPr>
      <w:r>
        <w:rPr>
          <w:color w:val="475569"/>
          <w:sz w:val="24"/>
          <w:szCs w:val="24"/>
        </w:rPr>
        <w:t xml:space="preserve">Fecha: 11 de septiembre de 2026</w:t>
      </w:r>
    </w:p>
    <w:p>
      <w:pPr>
        <w:spacing w:after="2400"/>
        <w:jc w:val="center"/>
      </w:pPr>
      <w:r>
        <w:rPr>
          <w:i/>
          <w:iCs/>
          <w:color w:val="475569"/>
          <w:sz w:val="24"/>
          <w:szCs w:val="24"/>
        </w:rPr>
        <w:t xml:space="preserve">Estado: Documento de Referencia Único</w:t>
      </w:r>
    </w:p>
    <w:p>
      <w:pPr>
        <w:jc w:val="center"/>
      </w:pPr>
      <w:r>
        <w:rPr>
          <w:i/>
          <w:iCs/>
          <w:color w:val="475569"/>
          <w:sz w:val="20"/>
          <w:szCs w:val="20"/>
        </w:rPr>
        <w:t xml:space="preserve">Este documento unifica todas las reglas, flujos, configuraciones y especificaciones técnicas acordadas para la implementación de la plataforma Knight Ads.</w:t>
      </w:r>
    </w:p>
    <w:p>
      <w:r>
        <w:br w:type="page"/>
      </w:r>
    </w:p>
    <w:p>
      <w:pPr>
        <w:pStyle w:val="Heading1"/>
        <w:spacing w:after="160" w:before="360"/>
      </w:pPr>
      <w:r>
        <w:rPr>
          <w:b/>
          <w:bCs/>
          <w:color w:val="1A1A2E"/>
          <w:sz w:val="36"/>
          <w:szCs w:val="36"/>
        </w:rPr>
        <w:t xml:space="preserve">Índice de Contenidos</w:t>
      </w:r>
    </w:p>
    <w:p>
      <w:pPr>
        <w:spacing w:after="120" w:line="312"/>
      </w:pPr>
      <w:r>
        <w:rPr>
          <w:color w:val="1A1A2E"/>
          <w:sz w:val="22"/>
          <w:szCs w:val="22"/>
        </w:rPr>
        <w:t xml:space="preserve">1. Resumen Ejecutivo</w:t>
      </w:r>
    </w:p>
    <w:p>
      <w:pPr>
        <w:spacing w:after="120" w:line="312"/>
      </w:pPr>
      <w:r>
        <w:rPr>
          <w:color w:val="1A1A2E"/>
          <w:sz w:val="22"/>
          <w:szCs w:val="22"/>
        </w:rPr>
        <w:t xml:space="preserve">2. Modelo Económico y Uso de la Red Solana</w:t>
      </w:r>
    </w:p>
    <w:p>
      <w:pPr>
        <w:spacing w:after="120" w:line="312"/>
      </w:pPr>
      <w:r>
        <w:rPr>
          <w:color w:val="1A1A2E"/>
          <w:sz w:val="22"/>
          <w:szCs w:val="22"/>
        </w:rPr>
        <w:t xml:space="preserve">3. Roles y Permisos del Sistema</w:t>
      </w:r>
    </w:p>
    <w:p>
      <w:pPr>
        <w:spacing w:after="120" w:line="312"/>
      </w:pPr>
      <w:r>
        <w:rPr>
          <w:color w:val="1A1A2E"/>
          <w:sz w:val="22"/>
          <w:szCs w:val="22"/>
        </w:rPr>
        <w:t xml:space="preserve">4. Acceso al Centro de Administración (Guía Completa)</w:t>
      </w:r>
    </w:p>
    <w:p>
      <w:pPr>
        <w:spacing w:after="120" w:line="312"/>
      </w:pPr>
      <w:r>
        <w:rPr>
          <w:color w:val="1A1A2E"/>
          <w:sz w:val="22"/>
          <w:szCs w:val="22"/>
        </w:rPr>
        <w:t xml:space="preserve">5. Pantalla de Inicio Pública (Landing Page)</w:t>
      </w:r>
    </w:p>
    <w:p>
      <w:pPr>
        <w:spacing w:after="120" w:line="312"/>
      </w:pPr>
      <w:r>
        <w:rPr>
          <w:color w:val="1A1A2E"/>
          <w:sz w:val="22"/>
          <w:szCs w:val="22"/>
        </w:rPr>
        <w:t xml:space="preserve">6. Portal del Anunciante</w:t>
      </w:r>
    </w:p>
    <w:p>
      <w:pPr>
        <w:spacing w:after="120" w:line="312"/>
      </w:pPr>
      <w:r>
        <w:rPr>
          <w:color w:val="1A1A2E"/>
          <w:sz w:val="22"/>
          <w:szCs w:val="22"/>
        </w:rPr>
        <w:t xml:space="preserve">7. Portal del Visitante</w:t>
      </w:r>
    </w:p>
    <w:p>
      <w:pPr>
        <w:spacing w:after="120" w:line="312"/>
      </w:pPr>
      <w:r>
        <w:rPr>
          <w:color w:val="1A1A2E"/>
          <w:sz w:val="22"/>
          <w:szCs w:val="22"/>
        </w:rPr>
        <w:t xml:space="preserve">8. Planes de Anunciante (5 Niveles con Diamantes)</w:t>
      </w:r>
    </w:p>
    <w:p>
      <w:pPr>
        <w:spacing w:after="120" w:line="312"/>
      </w:pPr>
      <w:r>
        <w:rPr>
          <w:color w:val="1A1A2E"/>
          <w:sz w:val="22"/>
          <w:szCs w:val="22"/>
        </w:rPr>
        <w:t xml:space="preserve">9. Planes de Visitante (Multiplicadores)</w:t>
      </w:r>
    </w:p>
    <w:p>
      <w:pPr>
        <w:spacing w:after="120" w:line="312"/>
      </w:pPr>
      <w:r>
        <w:rPr>
          <w:color w:val="1A1A2E"/>
          <w:sz w:val="22"/>
          <w:szCs w:val="22"/>
        </w:rPr>
        <w:t xml:space="preserve">10. Tesorería Centralizada (Sub-Cuentas A1–A7)</w:t>
      </w:r>
    </w:p>
    <w:p>
      <w:pPr>
        <w:spacing w:after="120" w:line="312"/>
      </w:pPr>
      <w:r>
        <w:rPr>
          <w:color w:val="1A1A2E"/>
          <w:sz w:val="22"/>
          <w:szCs w:val="22"/>
        </w:rPr>
        <w:t xml:space="preserve">11. Seguridad, Anti-Farming y Captcha</w:t>
      </w:r>
    </w:p>
    <w:p>
      <w:pPr>
        <w:spacing w:after="120" w:line="312"/>
      </w:pPr>
      <w:r>
        <w:rPr>
          <w:color w:val="1A1A2E"/>
          <w:sz w:val="22"/>
          <w:szCs w:val="22"/>
        </w:rPr>
        <w:t xml:space="preserve">12. Anuncios Laterales Configurables</w:t>
      </w:r>
    </w:p>
    <w:p>
      <w:pPr>
        <w:spacing w:after="120" w:line="312"/>
      </w:pPr>
      <w:r>
        <w:rPr>
          <w:color w:val="1A1A2E"/>
          <w:sz w:val="22"/>
          <w:szCs w:val="22"/>
        </w:rPr>
        <w:t xml:space="preserve">13. Parámetros Configurables por el Administrador</w:t>
      </w:r>
    </w:p>
    <w:p>
      <w:pPr>
        <w:spacing w:after="120" w:line="312"/>
      </w:pPr>
      <w:r>
        <w:rPr>
          <w:color w:val="1A1A2E"/>
          <w:sz w:val="22"/>
          <w:szCs w:val="22"/>
        </w:rPr>
        <w:t xml:space="preserve">14. Stack Tecnológico y Arquitectura</w:t>
      </w:r>
    </w:p>
    <w:p>
      <w:pPr>
        <w:spacing w:after="120" w:line="312"/>
      </w:pPr>
      <w:r>
        <w:rPr>
          <w:color w:val="1A1A2E"/>
          <w:sz w:val="22"/>
          <w:szCs w:val="22"/>
        </w:rPr>
        <w:t xml:space="preserve">15. API REST — Endpoints Disponibles</w:t>
      </w:r>
    </w:p>
    <w:p>
      <w:pPr>
        <w:spacing w:after="120" w:line="312"/>
      </w:pPr>
      <w:r>
        <w:rPr>
          <w:color w:val="1A1A2E"/>
          <w:sz w:val="22"/>
          <w:szCs w:val="22"/>
        </w:rPr>
        <w:t xml:space="preserve">16. Guía de Instalación y Despliegue</w:t>
      </w:r>
    </w:p>
    <w:p>
      <w:r>
        <w:br w:type="page"/>
      </w:r>
    </w:p>
    <w:p>
      <w:pPr>
        <w:pStyle w:val="Heading1"/>
        <w:spacing w:after="160" w:before="360"/>
      </w:pPr>
      <w:r>
        <w:rPr>
          <w:b/>
          <w:bCs/>
          <w:color w:val="1A1A2E"/>
          <w:sz w:val="36"/>
          <w:szCs w:val="36"/>
        </w:rPr>
        <w:t xml:space="preserve">1. Resumen Ejecutivo</w:t>
      </w:r>
    </w:p>
    <w:p>
      <w:pPr>
        <w:spacing w:after="120" w:line="312"/>
      </w:pPr>
      <w:r>
        <w:rPr>
          <w:color w:val="1A1A2E"/>
          <w:sz w:val="22"/>
          <w:szCs w:val="22"/>
        </w:rPr>
        <w:t xml:space="preserve">Knight Ads es una plataforma descentralizada de publicidad construida sobre la red Solana donde los anunciantes pagan por visualizaciones reales mediante paquetes prepagados de vistas vinculadas directamente a cada anuncio, y los visitantes reciben recompensas en el token nativo $Knight por visualizar contenido.</w:t>
      </w:r>
    </w:p>
    <w:p>
      <w:pPr>
        <w:pStyle w:val="Heading3"/>
        <w:spacing w:after="100" w:before="220"/>
      </w:pPr>
      <w:r>
        <w:rPr>
          <w:b/>
          <w:bCs/>
          <w:color w:val="4F46E5"/>
          <w:sz w:val="22"/>
          <w:szCs w:val="22"/>
        </w:rPr>
        <w:t xml:space="preserve">Principio fundamental del modelo</w:t>
      </w:r>
    </w:p>
    <w:p>
      <w:pPr>
        <w:spacing w:after="120" w:line="312"/>
      </w:pPr>
      <w:r>
        <w:rPr>
          <w:color w:val="1A1A2E"/>
          <w:sz w:val="22"/>
          <w:szCs w:val="22"/>
        </w:rPr>
        <w:t xml:space="preserve">La red Solana se utiliza EXCLUSIVAMENTE para dos operaciones:</w:t>
      </w:r>
    </w:p>
    <w:p>
      <w:pPr>
        <w:pStyle w:val="ListParagraph"/>
        <w:numPr>
          <w:ilvl w:val="0"/>
          <w:numId w:val="1"/>
        </w:numPr>
        <w:spacing w:after="80" w:line="312"/>
      </w:pPr>
      <w:r>
        <w:rPr>
          <w:color w:val="1A1A2E"/>
          <w:sz w:val="22"/>
          <w:szCs w:val="22"/>
        </w:rPr>
        <w:t xml:space="preserve">Depósitos / inversión de $Knight en la plataforma.</w:t>
      </w:r>
    </w:p>
    <w:p>
      <w:pPr>
        <w:pStyle w:val="ListParagraph"/>
        <w:numPr>
          <w:ilvl w:val="0"/>
          <w:numId w:val="1"/>
        </w:numPr>
        <w:spacing w:after="80" w:line="312"/>
      </w:pPr>
      <w:r>
        <w:rPr>
          <w:color w:val="1A1A2E"/>
          <w:sz w:val="22"/>
          <w:szCs w:val="22"/>
        </w:rPr>
        <w:t xml:space="preserve">Retiros de fondos acumulados a la wallet del usuario.</w:t>
      </w:r>
    </w:p>
    <w:p>
      <w:pPr>
        <w:spacing w:after="120" w:line="312"/>
      </w:pPr>
      <w:r>
        <w:rPr>
          <w:color w:val="1A1A2E"/>
          <w:sz w:val="22"/>
          <w:szCs w:val="22"/>
        </w:rPr>
        <w:t xml:space="preserve">Todo lo demás — pago por vistas, acreditación de rewards a visitantes, comisiones de plataforma, suscripción a planes Gold/Platinum, pausar/reanudar anuncios, ajuste de saldos — se gestiona con contabilidad interna dentro de la plataforma, sin ir a la red en cada operación. Esto hace que las operaciones sean instantáneas y sin costos de gas por interacción.</w:t>
      </w:r>
    </w:p>
    <w:p>
      <w:pPr>
        <w:pStyle w:val="Heading3"/>
        <w:spacing w:after="100" w:before="220"/>
      </w:pPr>
      <w:r>
        <w:rPr>
          <w:b/>
          <w:bCs/>
          <w:color w:val="4F46E5"/>
          <w:sz w:val="22"/>
          <w:szCs w:val="22"/>
        </w:rPr>
        <w:t xml:space="preserve">Pilares del sistema</w:t>
      </w:r>
    </w:p>
    <w:p>
      <w:pPr>
        <w:pStyle w:val="ListParagraph"/>
        <w:numPr>
          <w:ilvl w:val="0"/>
          <w:numId w:val="1"/>
        </w:numPr>
        <w:spacing w:after="80" w:line="312"/>
      </w:pPr>
      <w:r>
        <w:rPr>
          <w:b/>
          <w:bCs/>
          <w:color w:val="D4A017"/>
          <w:sz w:val="22"/>
          <w:szCs w:val="22"/>
        </w:rPr>
        <w:t xml:space="preserve">Seguridad: </w:t>
      </w:r>
      <w:r>
        <w:rPr>
          <w:color w:val="1A1A2E"/>
          <w:sz w:val="22"/>
          <w:szCs w:val="22"/>
        </w:rPr>
        <w:t xml:space="preserve">wallets multi-nivel, HSM, autenticación de 2 pasos (usuario+contraseña + código 2FA) para administradores, verificación anti-bot obligatoria, validación de wallets Solana al conectar.</w:t>
      </w:r>
    </w:p>
    <w:p>
      <w:pPr>
        <w:pStyle w:val="ListParagraph"/>
        <w:numPr>
          <w:ilvl w:val="0"/>
          <w:numId w:val="1"/>
        </w:numPr>
        <w:spacing w:after="80" w:line="312"/>
      </w:pPr>
      <w:r>
        <w:rPr>
          <w:b/>
          <w:bCs/>
          <w:color w:val="D4A017"/>
          <w:sz w:val="22"/>
          <w:szCs w:val="22"/>
        </w:rPr>
        <w:t xml:space="preserve">Transparencia: </w:t>
      </w:r>
      <w:r>
        <w:rPr>
          <w:color w:val="1A1A2E"/>
          <w:sz w:val="22"/>
          <w:szCs w:val="22"/>
        </w:rPr>
        <w:t xml:space="preserve">prueba de reservas pública, auditoría inmutable de todas las acciones administrativas.</w:t>
      </w:r>
    </w:p>
    <w:p>
      <w:pPr>
        <w:pStyle w:val="ListParagraph"/>
        <w:numPr>
          <w:ilvl w:val="0"/>
          <w:numId w:val="1"/>
        </w:numPr>
        <w:spacing w:after="80" w:line="312"/>
      </w:pPr>
      <w:r>
        <w:rPr>
          <w:b/>
          <w:bCs/>
          <w:color w:val="D4A017"/>
          <w:sz w:val="22"/>
          <w:szCs w:val="22"/>
        </w:rPr>
        <w:t xml:space="preserve">Control total del administrador: </w:t>
      </w:r>
      <w:r>
        <w:rPr>
          <w:color w:val="1A1A2E"/>
          <w:sz w:val="22"/>
          <w:szCs w:val="22"/>
        </w:rPr>
        <w:t xml:space="preserve">todos los parámetros económicos, de seguridad, de marca y de precio son configurables sin tocar una línea de código.</w:t>
      </w:r>
    </w:p>
    <w:p>
      <w:pPr>
        <w:pStyle w:val="ListParagraph"/>
        <w:numPr>
          <w:ilvl w:val="0"/>
          <w:numId w:val="1"/>
        </w:numPr>
        <w:spacing w:after="80" w:line="312"/>
      </w:pPr>
      <w:r>
        <w:rPr>
          <w:b/>
          <w:bCs/>
          <w:color w:val="D4A017"/>
          <w:sz w:val="22"/>
          <w:szCs w:val="22"/>
        </w:rPr>
        <w:t xml:space="preserve">Adquisición de tokens: </w:t>
      </w:r>
      <w:r>
        <w:rPr>
          <w:color w:val="1A1A2E"/>
          <w:sz w:val="22"/>
          <w:szCs w:val="22"/>
        </w:rPr>
        <w:t xml:space="preserve">integración directa con Jupiter Aggregator para comprar $Knight de forma rápida.</w:t>
      </w:r>
    </w:p>
    <w:p>
      <w:pPr>
        <w:pStyle w:val="ListParagraph"/>
        <w:numPr>
          <w:ilvl w:val="0"/>
          <w:numId w:val="1"/>
        </w:numPr>
        <w:spacing w:after="80" w:line="312"/>
      </w:pPr>
      <w:r>
        <w:rPr>
          <w:b/>
          <w:bCs/>
          <w:color w:val="D4A017"/>
          <w:sz w:val="22"/>
          <w:szCs w:val="22"/>
        </w:rPr>
        <w:t xml:space="preserve">Feed de precio en vivo: </w:t>
      </w:r>
      <w:r>
        <w:rPr>
          <w:color w:val="1A1A2E"/>
          <w:sz w:val="22"/>
          <w:szCs w:val="22"/>
        </w:rPr>
        <w:t xml:space="preserve">consulta el precio real de $Knight en USD desde Jupiter Price API (con fallback manual configurable).</w:t>
      </w:r>
    </w:p>
    <w:p>
      <w:pPr>
        <w:pStyle w:val="ListParagraph"/>
        <w:numPr>
          <w:ilvl w:val="0"/>
          <w:numId w:val="1"/>
        </w:numPr>
        <w:spacing w:after="80" w:line="312"/>
      </w:pPr>
      <w:r>
        <w:rPr>
          <w:b/>
          <w:bCs/>
          <w:color w:val="D4A017"/>
          <w:sz w:val="22"/>
          <w:szCs w:val="22"/>
        </w:rPr>
        <w:t xml:space="preserve">Anti-farming: </w:t>
      </w:r>
      <w:r>
        <w:rPr>
          <w:color w:val="1A1A2E"/>
          <w:sz w:val="22"/>
          <w:szCs w:val="22"/>
        </w:rPr>
        <w:t xml:space="preserve">ventana de revisualización configurable (24h por defecto) por par (usuario, anuncio) + captcha con timeout de 10s.</w:t>
      </w:r>
    </w:p>
    <w:p>
      <w:pPr>
        <w:pStyle w:val="ListParagraph"/>
        <w:numPr>
          <w:ilvl w:val="0"/>
          <w:numId w:val="1"/>
        </w:numPr>
        <w:spacing w:after="80" w:line="312"/>
      </w:pPr>
      <w:r>
        <w:rPr>
          <w:b/>
          <w:bCs/>
          <w:color w:val="D4A017"/>
          <w:sz w:val="22"/>
          <w:szCs w:val="22"/>
        </w:rPr>
        <w:t xml:space="preserve">Valoración de anuncios: </w:t>
      </w:r>
      <w:r>
        <w:rPr>
          <w:color w:val="1A1A2E"/>
          <w:sz w:val="22"/>
          <w:szCs w:val="22"/>
        </w:rPr>
        <w:t xml:space="preserve">los usuarios califican los anuncios de 1 a 5 estrellas; sección "Mejor Valorados" muestra los top-rated con plan activo.</w:t>
      </w:r>
    </w:p>
    <w:p>
      <w:pPr>
        <w:pStyle w:val="ListParagraph"/>
        <w:numPr>
          <w:ilvl w:val="0"/>
          <w:numId w:val="1"/>
        </w:numPr>
        <w:spacing w:after="80" w:line="312"/>
      </w:pPr>
      <w:r>
        <w:rPr>
          <w:b/>
          <w:bCs/>
          <w:color w:val="D4A017"/>
          <w:sz w:val="22"/>
          <w:szCs w:val="22"/>
        </w:rPr>
        <w:t xml:space="preserve">Rentabilidad garantizada: </w:t>
      </w:r>
      <w:r>
        <w:rPr>
          <w:color w:val="1A1A2E"/>
          <w:sz w:val="22"/>
          <w:szCs w:val="22"/>
        </w:rPr>
        <w:t xml:space="preserve">comisión 70% / reward 30% + multiplicadores capados (×1.5 Gold, ×2.5 Platinum) aseguran margen neto positivo en cada paquete.</w:t>
      </w:r>
    </w:p>
    <w:p>
      <w:pPr>
        <w:spacing w:after="120"/>
      </w:pPr>
    </w:p>
    <w:p>
      <w:pPr>
        <w:pStyle w:val="Heading1"/>
        <w:spacing w:after="160" w:before="360"/>
      </w:pPr>
      <w:r>
        <w:rPr>
          <w:b/>
          <w:bCs/>
          <w:color w:val="1A1A2E"/>
          <w:sz w:val="36"/>
          <w:szCs w:val="36"/>
        </w:rPr>
        <w:t xml:space="preserve">2. Modelo Económico y Uso de la Red Solana</w:t>
      </w:r>
    </w:p>
    <w:p>
      <w:pPr>
        <w:pStyle w:val="Heading2"/>
        <w:spacing w:after="120" w:before="280"/>
      </w:pPr>
      <w:r>
        <w:rPr>
          <w:b/>
          <w:bCs/>
          <w:color w:val="D4A017"/>
          <w:sz w:val="28"/>
          <w:szCs w:val="28"/>
        </w:rPr>
        <w:t xml:space="preserve">2.1 Cuándo se va a la red Solana</w:t>
      </w:r>
    </w:p>
    <w:p>
      <w:pPr>
        <w:spacing w:after="120" w:line="312"/>
      </w:pPr>
      <w:r>
        <w:rPr>
          <w:color w:val="1A1A2E"/>
          <w:sz w:val="22"/>
          <w:szCs w:val="22"/>
        </w:rPr>
        <w:t xml:space="preserve">La interacción con la blockchain Solana ocurre únicamente en dos momentos puntuales: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Operación</w:t>
            </w:r>
          </w:p>
        </w:tc>
        <w:tc>
          <w:tcPr>
            <w:shd w:fill="1A1A2E" w:color="auto" w:val="clear"/>
            <w:tcMar>
              <w:top w:type="dxa" w:w="100"/>
              <w:left w:type="dxa" w:w="120"/>
              <w:bottom w:type="dxa" w:w="100"/>
              <w:right w:type="dxa" w:w="120"/>
            </w:tcMar>
          </w:tcPr>
          <w:p>
            <w:pPr>
              <w:jc w:val="center"/>
            </w:pPr>
            <w:r>
              <w:rPr>
                <w:b/>
                <w:bCs/>
                <w:color w:val="FFFFFF"/>
                <w:sz w:val="20"/>
                <w:szCs w:val="20"/>
              </w:rPr>
              <w:t xml:space="preserve">¿Va a la red?</w:t>
            </w:r>
          </w:p>
        </w:tc>
        <w:tc>
          <w:tcPr>
            <w:shd w:fill="1A1A2E" w:color="auto" w:val="clear"/>
            <w:tcMar>
              <w:top w:type="dxa" w:w="100"/>
              <w:left w:type="dxa" w:w="120"/>
              <w:bottom w:type="dxa" w:w="100"/>
              <w:right w:type="dxa" w:w="120"/>
            </w:tcMar>
          </w:tcPr>
          <w:p>
            <w:pPr>
              <w:jc w:val="center"/>
            </w:pPr>
            <w:r>
              <w:rPr>
                <w:b/>
                <w:bCs/>
                <w:color w:val="FFFFFF"/>
                <w:sz w:val="20"/>
                <w:szCs w:val="20"/>
              </w:rPr>
              <w:t xml:space="preserve">Descripción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Depósito / Inversión</w:t>
            </w:r>
          </w:p>
        </w:tc>
        <w:tc>
          <w:tcPr>
            <w:shd w:fill="F1F5F9" w:color="auto" w:val="clear"/>
            <w:tcMar>
              <w:top w:type="dxa" w:w="100"/>
              <w:left w:type="dxa" w:w="120"/>
              <w:bottom w:type="dxa" w:w="100"/>
              <w:right w:type="dxa" w:w="120"/>
            </w:tcMar>
          </w:tcPr>
          <w:p>
            <w:r>
              <w:rPr>
                <w:b w:val="false"/>
                <w:bCs w:val="false"/>
                <w:color w:val="1A1A2E"/>
                <w:sz w:val="20"/>
                <w:szCs w:val="20"/>
              </w:rPr>
              <w:t xml:space="preserve">SÍ</w:t>
            </w:r>
          </w:p>
        </w:tc>
        <w:tc>
          <w:tcPr>
            <w:shd w:fill="F1F5F9" w:color="auto" w:val="clear"/>
            <w:tcMar>
              <w:top w:type="dxa" w:w="100"/>
              <w:left w:type="dxa" w:w="120"/>
              <w:bottom w:type="dxa" w:w="100"/>
              <w:right w:type="dxa" w:w="120"/>
            </w:tcMar>
          </w:tcPr>
          <w:p>
            <w:r>
              <w:rPr>
                <w:b w:val="false"/>
                <w:bCs w:val="false"/>
                <w:color w:val="1A1A2E"/>
                <w:sz w:val="20"/>
                <w:szCs w:val="20"/>
              </w:rPr>
              <w:t xml:space="preserve">El anunciante o visitante deposita $Knight en la wallet del sistema desde su wallet personal (ej. Phantom).</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Retiro de fondos</w:t>
            </w:r>
          </w:p>
        </w:tc>
        <w:tc>
          <w:tcPr>
            <w:shd w:fill="FFFFFF" w:color="auto" w:val="clear"/>
            <w:tcMar>
              <w:top w:type="dxa" w:w="100"/>
              <w:left w:type="dxa" w:w="120"/>
              <w:bottom w:type="dxa" w:w="100"/>
              <w:right w:type="dxa" w:w="120"/>
            </w:tcMar>
          </w:tcPr>
          <w:p>
            <w:r>
              <w:rPr>
                <w:b w:val="false"/>
                <w:bCs w:val="false"/>
                <w:color w:val="1A1A2E"/>
                <w:sz w:val="20"/>
                <w:szCs w:val="20"/>
              </w:rPr>
              <w:t xml:space="preserve">SÍ</w:t>
            </w:r>
          </w:p>
        </w:tc>
        <w:tc>
          <w:tcPr>
            <w:shd w:fill="FFFFFF" w:color="auto" w:val="clear"/>
            <w:tcMar>
              <w:top w:type="dxa" w:w="100"/>
              <w:left w:type="dxa" w:w="120"/>
              <w:bottom w:type="dxa" w:w="100"/>
              <w:right w:type="dxa" w:w="120"/>
            </w:tcMar>
          </w:tcPr>
          <w:p>
            <w:r>
              <w:rPr>
                <w:b w:val="false"/>
                <w:bCs w:val="false"/>
                <w:color w:val="1A1A2E"/>
                <w:sz w:val="20"/>
                <w:szCs w:val="20"/>
              </w:rPr>
              <w:t xml:space="preserve">El usuario solicita retirar su saldo acumulado a su wallet Solana configurada. Se aplica un fee configurable (10% por defecto).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Pago por vista</w:t>
            </w:r>
          </w:p>
        </w:tc>
        <w:tc>
          <w:tcPr>
            <w:shd w:fill="F1F5F9" w:color="auto" w:val="clear"/>
            <w:tcMar>
              <w:top w:type="dxa" w:w="100"/>
              <w:left w:type="dxa" w:w="120"/>
              <w:bottom w:type="dxa" w:w="100"/>
              <w:right w:type="dxa" w:w="120"/>
            </w:tcMar>
          </w:tcPr>
          <w:p>
            <w:r>
              <w:rPr>
                <w:b w:val="false"/>
                <w:bCs w:val="false"/>
                <w:color w:val="1A1A2E"/>
                <w:sz w:val="20"/>
                <w:szCs w:val="20"/>
              </w:rPr>
              <w:t xml:space="preserve">NO</w:t>
            </w:r>
          </w:p>
        </w:tc>
        <w:tc>
          <w:tcPr>
            <w:shd w:fill="F1F5F9" w:color="auto" w:val="clear"/>
            <w:tcMar>
              <w:top w:type="dxa" w:w="100"/>
              <w:left w:type="dxa" w:w="120"/>
              <w:bottom w:type="dxa" w:w="100"/>
              <w:right w:type="dxa" w:w="120"/>
            </w:tcMar>
          </w:tcPr>
          <w:p>
            <w:r>
              <w:rPr>
                <w:b w:val="false"/>
                <w:bCs w:val="false"/>
                <w:color w:val="1A1A2E"/>
                <w:sz w:val="20"/>
                <w:szCs w:val="20"/>
              </w:rPr>
              <w:t xml:space="preserve">Se acredita al instante como contabilidad interna en el saldo del visitante.</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Comisión de plataforma (60%)</w:t>
            </w:r>
          </w:p>
        </w:tc>
        <w:tc>
          <w:tcPr>
            <w:shd w:fill="FFFFFF" w:color="auto" w:val="clear"/>
            <w:tcMar>
              <w:top w:type="dxa" w:w="100"/>
              <w:left w:type="dxa" w:w="120"/>
              <w:bottom w:type="dxa" w:w="100"/>
              <w:right w:type="dxa" w:w="120"/>
            </w:tcMar>
          </w:tcPr>
          <w:p>
            <w:r>
              <w:rPr>
                <w:b w:val="false"/>
                <w:bCs w:val="false"/>
                <w:color w:val="1A1A2E"/>
                <w:sz w:val="20"/>
                <w:szCs w:val="20"/>
              </w:rPr>
              <w:t xml:space="preserve">NO</w:t>
            </w:r>
          </w:p>
        </w:tc>
        <w:tc>
          <w:tcPr>
            <w:shd w:fill="FFFFFF" w:color="auto" w:val="clear"/>
            <w:tcMar>
              <w:top w:type="dxa" w:w="100"/>
              <w:left w:type="dxa" w:w="120"/>
              <w:bottom w:type="dxa" w:w="100"/>
              <w:right w:type="dxa" w:w="120"/>
            </w:tcMar>
          </w:tcPr>
          <w:p>
            <w:r>
              <w:rPr>
                <w:b w:val="false"/>
                <w:bCs w:val="false"/>
                <w:color w:val="1A1A2E"/>
                <w:sz w:val="20"/>
                <w:szCs w:val="20"/>
              </w:rPr>
              <w:t xml:space="preserve">Se contabiliza internamente en la sub-cuenta A3 del tesoro.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Reward al visitante (40%)</w:t>
            </w:r>
          </w:p>
        </w:tc>
        <w:tc>
          <w:tcPr>
            <w:shd w:fill="F1F5F9" w:color="auto" w:val="clear"/>
            <w:tcMar>
              <w:top w:type="dxa" w:w="100"/>
              <w:left w:type="dxa" w:w="120"/>
              <w:bottom w:type="dxa" w:w="100"/>
              <w:right w:type="dxa" w:w="120"/>
            </w:tcMar>
          </w:tcPr>
          <w:p>
            <w:r>
              <w:rPr>
                <w:b w:val="false"/>
                <w:bCs w:val="false"/>
                <w:color w:val="1A1A2E"/>
                <w:sz w:val="20"/>
                <w:szCs w:val="20"/>
              </w:rPr>
              <w:t xml:space="preserve">NO</w:t>
            </w:r>
          </w:p>
        </w:tc>
        <w:tc>
          <w:tcPr>
            <w:shd w:fill="F1F5F9" w:color="auto" w:val="clear"/>
            <w:tcMar>
              <w:top w:type="dxa" w:w="100"/>
              <w:left w:type="dxa" w:w="120"/>
              <w:bottom w:type="dxa" w:w="100"/>
              <w:right w:type="dxa" w:w="120"/>
            </w:tcMar>
          </w:tcPr>
          <w:p>
            <w:r>
              <w:rPr>
                <w:b w:val="false"/>
                <w:bCs w:val="false"/>
                <w:color w:val="1A1A2E"/>
                <w:sz w:val="20"/>
                <w:szCs w:val="20"/>
              </w:rPr>
              <w:t xml:space="preserve">Se contabiliza como pendiente de pago en la sub-cuenta A5.</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Suscripción Gold/Platinum</w:t>
            </w:r>
          </w:p>
        </w:tc>
        <w:tc>
          <w:tcPr>
            <w:shd w:fill="FFFFFF" w:color="auto" w:val="clear"/>
            <w:tcMar>
              <w:top w:type="dxa" w:w="100"/>
              <w:left w:type="dxa" w:w="120"/>
              <w:bottom w:type="dxa" w:w="100"/>
              <w:right w:type="dxa" w:w="120"/>
            </w:tcMar>
          </w:tcPr>
          <w:p>
            <w:r>
              <w:rPr>
                <w:b w:val="false"/>
                <w:bCs w:val="false"/>
                <w:color w:val="1A1A2E"/>
                <w:sz w:val="20"/>
                <w:szCs w:val="20"/>
              </w:rPr>
              <w:t xml:space="preserve">NO</w:t>
            </w:r>
          </w:p>
        </w:tc>
        <w:tc>
          <w:tcPr>
            <w:shd w:fill="FFFFFF" w:color="auto" w:val="clear"/>
            <w:tcMar>
              <w:top w:type="dxa" w:w="100"/>
              <w:left w:type="dxa" w:w="120"/>
              <w:bottom w:type="dxa" w:w="100"/>
              <w:right w:type="dxa" w:w="120"/>
            </w:tcMar>
          </w:tcPr>
          <w:p>
            <w:r>
              <w:rPr>
                <w:b w:val="false"/>
                <w:bCs w:val="false"/>
                <w:color w:val="1A1A2E"/>
                <w:sz w:val="20"/>
                <w:szCs w:val="20"/>
              </w:rPr>
              <w:t xml:space="preserve">Se descuenta del saldo interno del visitante.</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Publicar / Pausar anuncio</w:t>
            </w:r>
          </w:p>
        </w:tc>
        <w:tc>
          <w:tcPr>
            <w:shd w:fill="F1F5F9" w:color="auto" w:val="clear"/>
            <w:tcMar>
              <w:top w:type="dxa" w:w="100"/>
              <w:left w:type="dxa" w:w="120"/>
              <w:bottom w:type="dxa" w:w="100"/>
              <w:right w:type="dxa" w:w="120"/>
            </w:tcMar>
          </w:tcPr>
          <w:p>
            <w:r>
              <w:rPr>
                <w:b w:val="false"/>
                <w:bCs w:val="false"/>
                <w:color w:val="1A1A2E"/>
                <w:sz w:val="20"/>
                <w:szCs w:val="20"/>
              </w:rPr>
              <w:t xml:space="preserve">NO</w:t>
            </w:r>
          </w:p>
        </w:tc>
        <w:tc>
          <w:tcPr>
            <w:shd w:fill="F1F5F9" w:color="auto" w:val="clear"/>
            <w:tcMar>
              <w:top w:type="dxa" w:w="100"/>
              <w:left w:type="dxa" w:w="120"/>
              <w:bottom w:type="dxa" w:w="100"/>
              <w:right w:type="dxa" w:w="120"/>
            </w:tcMar>
          </w:tcPr>
          <w:p>
            <w:r>
              <w:rPr>
                <w:b w:val="false"/>
                <w:bCs w:val="false"/>
                <w:color w:val="1A1A2E"/>
                <w:sz w:val="20"/>
                <w:szCs w:val="20"/>
              </w:rPr>
              <w:t xml:space="preserve">Cambio de estado interno, sin movimiento en la red.</w:t>
            </w:r>
          </w:p>
        </w:tc>
      </w:tr>
    </w:tbl>
    <w:p>
      <w:pPr>
        <w:spacing w:after="120"/>
      </w:pPr>
    </w:p>
    <w:p>
      <w:pPr>
        <w:pStyle w:val="Heading2"/>
        <w:spacing w:after="120" w:before="280"/>
      </w:pPr>
      <w:r>
        <w:rPr>
          <w:b/>
          <w:bCs/>
          <w:color w:val="D4A017"/>
          <w:sz w:val="28"/>
          <w:szCs w:val="28"/>
        </w:rPr>
        <w:t xml:space="preserve">2.2 Flujo de fondos</w:t>
      </w:r>
    </w:p>
    <w:p>
      <w:pPr>
        <w:spacing w:after="120" w:line="312"/>
      </w:pPr>
      <w:r>
        <w:rPr>
          <w:color w:val="1A1A2E"/>
          <w:sz w:val="22"/>
          <w:szCs w:val="22"/>
        </w:rPr>
        <w:t xml:space="preserve">1. El anunciante deposita $Knight vía Solana (único momento on-chain de entrada).</w:t>
      </w:r>
    </w:p>
    <w:p>
      <w:pPr>
        <w:spacing w:after="120" w:line="312"/>
      </w:pPr>
      <w:r>
        <w:rPr>
          <w:color w:val="1A1A2E"/>
          <w:sz w:val="22"/>
          <w:szCs w:val="22"/>
        </w:rPr>
        <w:t xml:space="preserve">2. El anunciante compra un Paquete de Vistas para un anuncio específico. El monto se retiene en la sub-cuenta A1 (Planes de Anunciantes Comprados).</w:t>
      </w:r>
    </w:p>
    <w:p>
      <w:pPr>
        <w:spacing w:after="120" w:line="312"/>
      </w:pPr>
      <w:r>
        <w:rPr>
          <w:color w:val="1A1A2E"/>
          <w:sz w:val="22"/>
          <w:szCs w:val="22"/>
        </w:rPr>
        <w:t xml:space="preserve">3. Por cada vista válida servida, el sistema contable interno transfiere:</w:t>
      </w:r>
    </w:p>
    <w:p>
      <w:pPr>
        <w:pStyle w:val="ListParagraph"/>
        <w:numPr>
          <w:ilvl w:val="1"/>
          <w:numId w:val="1"/>
        </w:numPr>
        <w:spacing w:after="80" w:line="312"/>
      </w:pPr>
      <w:r>
        <w:rPr>
          <w:color w:val="1A1A2E"/>
          <w:sz w:val="22"/>
          <w:szCs w:val="22"/>
        </w:rPr>
        <w:t xml:space="preserve">40% al reward pendiente del visitante (sub-cuenta A5).</w:t>
      </w:r>
    </w:p>
    <w:p>
      <w:pPr>
        <w:pStyle w:val="ListParagraph"/>
        <w:numPr>
          <w:ilvl w:val="1"/>
          <w:numId w:val="1"/>
        </w:numPr>
        <w:spacing w:after="80" w:line="312"/>
      </w:pPr>
      <w:r>
        <w:rPr>
          <w:color w:val="1A1A2E"/>
          <w:sz w:val="22"/>
          <w:szCs w:val="22"/>
        </w:rPr>
        <w:t xml:space="preserve">60% a comisiones de plataforma (sub-cuenta A3).</w:t>
      </w:r>
    </w:p>
    <w:p>
      <w:pPr>
        <w:spacing w:after="120" w:line="312"/>
      </w:pPr>
      <w:r>
        <w:rPr>
          <w:color w:val="1A1A2E"/>
          <w:sz w:val="22"/>
          <w:szCs w:val="22"/>
        </w:rPr>
        <w:t xml:space="preserve">4. El visitante acumula rewards en su saldo interno. Cuando quiere materializarlos, solicita un retiro (on-chain) a su wallet, con fee del 10% (sub-cuenta A4).</w:t>
      </w:r>
    </w:p>
    <w:p>
      <w:pPr>
        <w:spacing w:after="120"/>
      </w:pPr>
    </w:p>
    <w:p>
      <w:pPr>
        <w:pStyle w:val="Heading1"/>
        <w:spacing w:after="160" w:before="360"/>
      </w:pPr>
      <w:r>
        <w:rPr>
          <w:b/>
          <w:bCs/>
          <w:color w:val="1A1A2E"/>
          <w:sz w:val="36"/>
          <w:szCs w:val="36"/>
        </w:rPr>
        <w:t xml:space="preserve">3. Roles y Permisos del Sistema</w:t>
      </w:r>
    </w:p>
    <w:p>
      <w:pPr>
        <w:pStyle w:val="Heading2"/>
        <w:spacing w:after="120" w:before="280"/>
      </w:pPr>
      <w:r>
        <w:rPr>
          <w:b/>
          <w:bCs/>
          <w:color w:val="D4A017"/>
          <w:sz w:val="28"/>
          <w:szCs w:val="28"/>
        </w:rPr>
        <w:t xml:space="preserve">3.1 Visitante</w:t>
      </w:r>
    </w:p>
    <w:p>
      <w:pPr>
        <w:pStyle w:val="ListParagraph"/>
        <w:numPr>
          <w:ilvl w:val="0"/>
          <w:numId w:val="1"/>
        </w:numPr>
        <w:spacing w:after="80" w:line="312"/>
      </w:pPr>
      <w:r>
        <w:rPr>
          <w:color w:val="1A1A2E"/>
          <w:sz w:val="22"/>
          <w:szCs w:val="22"/>
        </w:rPr>
        <w:t xml:space="preserve">Registro simple: email + contraseña (con verificación anti-bot).</w:t>
      </w:r>
    </w:p>
    <w:p>
      <w:pPr>
        <w:pStyle w:val="ListParagraph"/>
        <w:numPr>
          <w:ilvl w:val="0"/>
          <w:numId w:val="1"/>
        </w:numPr>
        <w:spacing w:after="80" w:line="312"/>
      </w:pPr>
      <w:r>
        <w:rPr>
          <w:color w:val="1A1A2E"/>
          <w:sz w:val="22"/>
          <w:szCs w:val="22"/>
        </w:rPr>
        <w:t xml:space="preserve">Visualiza anuncios, resuelve captcha y gana $Knight.</w:t>
      </w:r>
    </w:p>
    <w:p>
      <w:pPr>
        <w:pStyle w:val="ListParagraph"/>
        <w:numPr>
          <w:ilvl w:val="0"/>
          <w:numId w:val="1"/>
        </w:numPr>
        <w:spacing w:after="80" w:line="312"/>
      </w:pPr>
      <w:r>
        <w:rPr>
          <w:color w:val="1A1A2E"/>
          <w:sz w:val="22"/>
          <w:szCs w:val="22"/>
        </w:rPr>
        <w:t xml:space="preserve">Puede suscribirse a Planes Premium (Gold ×2, Platinum ×4) con duración configurable (15 días por defecto).</w:t>
      </w:r>
    </w:p>
    <w:p>
      <w:pPr>
        <w:pStyle w:val="ListParagraph"/>
        <w:numPr>
          <w:ilvl w:val="0"/>
          <w:numId w:val="1"/>
        </w:numPr>
        <w:spacing w:after="80" w:line="312"/>
      </w:pPr>
      <w:r>
        <w:rPr>
          <w:color w:val="1A1A2E"/>
          <w:sz w:val="22"/>
          <w:szCs w:val="22"/>
        </w:rPr>
        <w:t xml:space="preserve">Configura su wallet de retiro una sola vez (queda bloqueada).</w:t>
      </w:r>
    </w:p>
    <w:p>
      <w:pPr>
        <w:pStyle w:val="ListParagraph"/>
        <w:numPr>
          <w:ilvl w:val="0"/>
          <w:numId w:val="1"/>
        </w:numPr>
        <w:spacing w:after="80" w:line="312"/>
      </w:pPr>
      <w:r>
        <w:rPr>
          <w:color w:val="1A1A2E"/>
          <w:sz w:val="22"/>
          <w:szCs w:val="22"/>
        </w:rPr>
        <w:t xml:space="preserve">Puede volver a ver un mismo anuncio tras transcurrir la ventana de revisualización (24h por defecto).</w:t>
      </w:r>
    </w:p>
    <w:p>
      <w:pPr>
        <w:pStyle w:val="Heading2"/>
        <w:spacing w:after="120" w:before="280"/>
      </w:pPr>
      <w:r>
        <w:rPr>
          <w:b/>
          <w:bCs/>
          <w:color w:val="D4A017"/>
          <w:sz w:val="28"/>
          <w:szCs w:val="28"/>
        </w:rPr>
        <w:t xml:space="preserve">3.2 Anunciante</w:t>
      </w:r>
    </w:p>
    <w:p>
      <w:pPr>
        <w:pStyle w:val="ListParagraph"/>
        <w:numPr>
          <w:ilvl w:val="0"/>
          <w:numId w:val="1"/>
        </w:numPr>
        <w:spacing w:after="80" w:line="312"/>
      </w:pPr>
      <w:r>
        <w:rPr>
          <w:color w:val="1A1A2E"/>
          <w:sz w:val="22"/>
          <w:szCs w:val="22"/>
        </w:rPr>
        <w:t xml:space="preserve">Adquiere Paquetes de Vistas vinculados directamente a cada anuncio que publica (relación 1:1).</w:t>
      </w:r>
    </w:p>
    <w:p>
      <w:pPr>
        <w:pStyle w:val="ListParagraph"/>
        <w:numPr>
          <w:ilvl w:val="0"/>
          <w:numId w:val="1"/>
        </w:numPr>
        <w:spacing w:after="80" w:line="312"/>
      </w:pPr>
      <w:r>
        <w:rPr>
          <w:color w:val="1A1A2E"/>
          <w:sz w:val="22"/>
          <w:szCs w:val="22"/>
        </w:rPr>
        <w:t xml:space="preserve">Publica anuncios (Título, Contenido, Enlace) eligiendo un Plan de Anunciante.</w:t>
      </w:r>
    </w:p>
    <w:p>
      <w:pPr>
        <w:pStyle w:val="ListParagraph"/>
        <w:numPr>
          <w:ilvl w:val="0"/>
          <w:numId w:val="1"/>
        </w:numPr>
        <w:spacing w:after="80" w:line="312"/>
      </w:pPr>
      <w:r>
        <w:rPr>
          <w:color w:val="1A1A2E"/>
          <w:sz w:val="22"/>
          <w:szCs w:val="22"/>
        </w:rPr>
        <w:t xml:space="preserve">Dispone de un botón directo a Jupiter Aggregator para comprar $Knight de forma rápida.</w:t>
      </w:r>
    </w:p>
    <w:p>
      <w:pPr>
        <w:pStyle w:val="ListParagraph"/>
        <w:numPr>
          <w:ilvl w:val="0"/>
          <w:numId w:val="1"/>
        </w:numPr>
        <w:spacing w:after="80" w:line="312"/>
      </w:pPr>
      <w:r>
        <w:rPr>
          <w:color w:val="1A1A2E"/>
          <w:sz w:val="22"/>
          <w:szCs w:val="22"/>
        </w:rPr>
        <w:t xml:space="preserve">Gestiona sus anuncios, métricas y saldo desde su dashboard.</w:t>
      </w:r>
    </w:p>
    <w:p>
      <w:pPr>
        <w:pStyle w:val="ListParagraph"/>
        <w:numPr>
          <w:ilvl w:val="0"/>
          <w:numId w:val="1"/>
        </w:numPr>
        <w:spacing w:after="80" w:line="312"/>
      </w:pPr>
      <w:r>
        <w:rPr>
          <w:color w:val="1A1A2E"/>
          <w:sz w:val="22"/>
          <w:szCs w:val="22"/>
        </w:rPr>
        <w:t xml:space="preserve">Verificación anti-bot obligatoria al publicar anuncios.</w:t>
      </w:r>
    </w:p>
    <w:p>
      <w:pPr>
        <w:pStyle w:val="Heading2"/>
        <w:spacing w:after="120" w:before="280"/>
      </w:pPr>
      <w:r>
        <w:rPr>
          <w:b/>
          <w:bCs/>
          <w:color w:val="D4A017"/>
          <w:sz w:val="28"/>
          <w:szCs w:val="28"/>
        </w:rPr>
        <w:t xml:space="preserve">3.3 Cambio de rol sin re-registration</w:t>
      </w:r>
    </w:p>
    <w:p>
      <w:pPr>
        <w:spacing w:after="120" w:line="312"/>
      </w:pPr>
      <w:r>
        <w:rPr>
          <w:color w:val="1A1A2E"/>
          <w:sz w:val="22"/>
          <w:szCs w:val="22"/>
        </w:rPr>
        <w:t xml:space="preserve">Un mismo usuario registrado puede operar ambos roles simultáneamente con saldos separados. Una vez autenticado, puede cambiar entre el Portal del Anunciante y el Portal del Visitante desde el navbar sin necesidad de volver a registrarse ni iniciar sesión.</w:t>
      </w:r>
    </w:p>
    <w:p>
      <w:pPr>
        <w:pStyle w:val="Heading2"/>
        <w:spacing w:after="120" w:before="280"/>
      </w:pPr>
      <w:r>
        <w:rPr>
          <w:b/>
          <w:bCs/>
          <w:color w:val="D4A017"/>
          <w:sz w:val="28"/>
          <w:szCs w:val="28"/>
        </w:rPr>
        <w:t xml:space="preserve">3.4 Administrador (Sistema de Permisos Granular)</w:t>
      </w:r>
    </w:p>
    <w:p>
      <w:pPr>
        <w:pStyle w:val="ListParagraph"/>
        <w:numPr>
          <w:ilvl w:val="0"/>
          <w:numId w:val="1"/>
        </w:numPr>
        <w:spacing w:after="80" w:line="312"/>
      </w:pPr>
      <w:r>
        <w:rPr>
          <w:color w:val="1A1A2E"/>
          <w:sz w:val="22"/>
          <w:szCs w:val="22"/>
        </w:rPr>
        <w:t xml:space="preserve">Acceso mediante OAuth2/OIDC con MFA obligatorio (simulado con frase de paso).</w:t>
      </w:r>
    </w:p>
    <w:p>
      <w:pPr>
        <w:pStyle w:val="ListParagraph"/>
        <w:numPr>
          <w:ilvl w:val="0"/>
          <w:numId w:val="1"/>
        </w:numPr>
        <w:spacing w:after="80" w:line="312"/>
      </w:pPr>
      <w:r>
        <w:rPr>
          <w:color w:val="1A1A2E"/>
          <w:sz w:val="22"/>
          <w:szCs w:val="22"/>
        </w:rPr>
        <w:t xml:space="preserve">Roles predefinidos: Super Admin, Finance Manager, Content Moderator, Support Agent, Auditor, Security Admin.</w:t>
      </w:r>
    </w:p>
    <w:p>
      <w:pPr>
        <w:pStyle w:val="ListParagraph"/>
        <w:numPr>
          <w:ilvl w:val="0"/>
          <w:numId w:val="1"/>
        </w:numPr>
        <w:spacing w:after="80" w:line="312"/>
      </w:pPr>
      <w:r>
        <w:rPr>
          <w:color w:val="1A1A2E"/>
          <w:sz w:val="22"/>
          <w:szCs w:val="22"/>
        </w:rPr>
        <w:t xml:space="preserve">Puede cambiar el estatus de cualquier anuncio sin costo ni reembolso.</w:t>
      </w:r>
    </w:p>
    <w:p>
      <w:pPr>
        <w:pStyle w:val="ListParagraph"/>
        <w:numPr>
          <w:ilvl w:val="0"/>
          <w:numId w:val="1"/>
        </w:numPr>
        <w:spacing w:after="80" w:line="312"/>
      </w:pPr>
      <w:r>
        <w:rPr>
          <w:color w:val="1A1A2E"/>
          <w:sz w:val="22"/>
          <w:szCs w:val="22"/>
        </w:rPr>
        <w:t xml:space="preserve">Puede publicar anuncios administrativos gratuitos (financiados por la wallet del sistema, sub-cuenta A2).</w:t>
      </w:r>
    </w:p>
    <w:p>
      <w:pPr>
        <w:pStyle w:val="ListParagraph"/>
        <w:numPr>
          <w:ilvl w:val="0"/>
          <w:numId w:val="1"/>
        </w:numPr>
        <w:spacing w:after="80" w:line="312"/>
      </w:pPr>
      <w:r>
        <w:rPr>
          <w:color w:val="1A1A2E"/>
          <w:sz w:val="22"/>
          <w:szCs w:val="22"/>
        </w:rPr>
        <w:t xml:space="preserve">Control total sobre todos los parámetros económicos y de seguridad.</w:t>
      </w:r>
    </w:p>
    <w:p>
      <w:pPr>
        <w:spacing w:after="120"/>
      </w:pPr>
    </w:p>
    <w:p>
      <w:pPr>
        <w:pStyle w:val="Heading1"/>
        <w:spacing w:after="160" w:before="360"/>
      </w:pPr>
      <w:r>
        <w:rPr>
          <w:b/>
          <w:bCs/>
          <w:color w:val="1A1A2E"/>
          <w:sz w:val="36"/>
          <w:szCs w:val="36"/>
        </w:rPr>
        <w:t xml:space="preserve">4. Acceso al Centro de Administración (Guía Completa)</w:t>
      </w:r>
    </w:p>
    <w:p>
      <w:pPr>
        <w:spacing w:after="120" w:line="312"/>
      </w:pPr>
      <w:r>
        <w:rPr>
          <w:color w:val="1A1A2E"/>
          <w:sz w:val="22"/>
          <w:szCs w:val="22"/>
        </w:rPr>
        <w:t xml:space="preserve">Por seguridad, el acceso al Centro de Administración está OCULTO en la interfaz pública. No aparece ningún botón en el navbar ni en menús visibles. Existen dos vías oficiales para acceder, ambas protegidas por un flujo de autenticación de DOS PASOS: (1) usuario + contraseña, (2) código 2FA secreto de letras y números.</w:t>
      </w:r>
    </w:p>
    <w:p>
      <w:pPr>
        <w:pStyle w:val="Heading2"/>
        <w:spacing w:after="120" w:before="280"/>
      </w:pPr>
      <w:r>
        <w:rPr>
          <w:b/>
          <w:bCs/>
          <w:color w:val="D4A017"/>
          <w:sz w:val="28"/>
          <w:szCs w:val="28"/>
        </w:rPr>
        <w:t xml:space="preserve">4.1 Vía A — URL con parámetro de consulta</w:t>
      </w:r>
    </w:p>
    <w:p>
      <w:pPr>
        <w:spacing w:after="120" w:line="312"/>
      </w:pPr>
      <w:r>
        <w:rPr>
          <w:color w:val="1A1A2E"/>
          <w:sz w:val="22"/>
          <w:szCs w:val="22"/>
        </w:rPr>
        <w:t xml:space="preserve">Accede a la plataforma añadiendo el parámetro ?admin=1 a la URL:</w:t>
      </w:r>
    </w:p>
    <w:p>
      <w:pPr>
        <w:shd w:fill="F1F5F9" w:color="auto" w:val="clear"/>
        <w:spacing w:after="160" w:before="80"/>
      </w:pPr>
      <w:r>
        <w:rPr>
          <w:rFonts w:ascii="Courier New" w:cs="Courier New" w:eastAsia="Courier New" w:hAnsi="Courier New"/>
          <w:b/>
          <w:bCs/>
          <w:color w:val="4F46E5"/>
          <w:sz w:val="22"/>
          <w:szCs w:val="22"/>
        </w:rPr>
        <w:t xml:space="preserve">https://[tu-dominio]/?admin=1</w:t>
      </w:r>
    </w:p>
    <w:p>
      <w:pPr>
        <w:spacing w:after="120" w:line="312"/>
      </w:pPr>
      <w:r>
        <w:rPr>
          <w:color w:val="1A1A2E"/>
          <w:sz w:val="22"/>
          <w:szCs w:val="22"/>
        </w:rPr>
        <w:t xml:space="preserve">Al cargar la página con este parámetro, se abrirá automáticamente el modal "Acceso Administrativo".</w:t>
      </w:r>
    </w:p>
    <w:p>
      <w:pPr>
        <w:pStyle w:val="Heading2"/>
        <w:spacing w:after="120" w:before="280"/>
      </w:pPr>
      <w:r>
        <w:rPr>
          <w:b/>
          <w:bCs/>
          <w:color w:val="D4A017"/>
          <w:sz w:val="28"/>
          <w:szCs w:val="28"/>
        </w:rPr>
        <w:t xml:space="preserve">4.2 Vía B — Easter egg en el footer</w:t>
      </w:r>
    </w:p>
    <w:p>
      <w:pPr>
        <w:spacing w:after="120" w:line="312"/>
      </w:pPr>
      <w:r>
        <w:rPr>
          <w:color w:val="1A1A2E"/>
          <w:sz w:val="22"/>
          <w:szCs w:val="22"/>
        </w:rPr>
        <w:t xml:space="preserve">En el footer fijo de la plataforma, en la esquina inferior izquierda, aparece el texto de copyright:</w:t>
      </w:r>
    </w:p>
    <w:p>
      <w:pPr>
        <w:spacing w:after="160" w:before="80"/>
        <w:jc w:val="center"/>
      </w:pPr>
      <w:r>
        <w:rPr>
          <w:b/>
          <w:bCs/>
          <w:color w:val="475569"/>
          <w:sz w:val="22"/>
          <w:szCs w:val="22"/>
        </w:rPr>
        <w:t xml:space="preserve">© 2026 Knight Ads · v2.4</w:t>
      </w:r>
    </w:p>
    <w:p>
      <w:pPr>
        <w:spacing w:after="120" w:line="312"/>
      </w:pPr>
      <w:r>
        <w:rPr>
          <w:color w:val="1A1A2E"/>
          <w:sz w:val="22"/>
          <w:szCs w:val="22"/>
        </w:rPr>
        <w:t xml:space="preserve">Realiza 3 clics rápidos (en menos de 1.5 segundos) sobre ese texto. Se abrirá el mismo modal "Acceso Administrativo".</w:t>
      </w:r>
    </w:p>
    <w:p>
      <w:pPr>
        <w:pStyle w:val="Heading2"/>
        <w:spacing w:after="120" w:before="280"/>
      </w:pPr>
      <w:r>
        <w:rPr>
          <w:b/>
          <w:bCs/>
          <w:color w:val="D4A017"/>
          <w:sz w:val="28"/>
          <w:szCs w:val="28"/>
        </w:rPr>
        <w:t xml:space="preserve">4.3 Autenticación de dos pasos (2FA)</w:t>
      </w:r>
    </w:p>
    <w:p>
      <w:pPr>
        <w:spacing w:after="120" w:line="312"/>
      </w:pPr>
      <w:r>
        <w:rPr>
          <w:color w:val="1A1A2E"/>
          <w:sz w:val="22"/>
          <w:szCs w:val="22"/>
        </w:rPr>
        <w:t xml:space="preserve">El modal solicita dos verificaciones secuenciales:</w:t>
      </w:r>
    </w:p>
    <w:p>
      <w:pPr>
        <w:pStyle w:val="Heading3"/>
        <w:spacing w:after="100" w:before="220"/>
      </w:pPr>
      <w:r>
        <w:rPr>
          <w:b/>
          <w:bCs/>
          <w:color w:val="4F46E5"/>
          <w:sz w:val="22"/>
          <w:szCs w:val="22"/>
        </w:rPr>
        <w:t xml:space="preserve">Paso 1 — Credenciales</w:t>
      </w:r>
    </w:p>
    <w:p>
      <w:pPr>
        <w:spacing w:after="120" w:line="312"/>
      </w:pPr>
      <w:r>
        <w:rPr>
          <w:color w:val="1A1A2E"/>
          <w:sz w:val="22"/>
          <w:szCs w:val="22"/>
        </w:rPr>
        <w:t xml:space="preserve">Usuario administrador + contraseña. Si son correctas, el sistema avanza al paso 2.</w:t>
      </w:r>
    </w:p>
    <w:p>
      <w:pPr>
        <w:shd w:fill="F1F5F9" w:color="auto" w:val="clear"/>
        <w:spacing w:after="80" w:before="40"/>
      </w:pPr>
      <w:r>
        <w:rPr>
          <w:b/>
          <w:bCs/>
          <w:color w:val="1A1A2E"/>
          <w:sz w:val="22"/>
          <w:szCs w:val="22"/>
        </w:rPr>
        <w:t xml:space="preserve">Usuario: </w:t>
      </w:r>
      <w:r>
        <w:rPr>
          <w:rFonts w:ascii="Courier New" w:cs="Courier New" w:eastAsia="Courier New" w:hAnsi="Courier New"/>
          <w:color w:val="4F46E5"/>
          <w:sz w:val="22"/>
          <w:szCs w:val="22"/>
        </w:rPr>
        <w:t xml:space="preserve">admin</w:t>
      </w:r>
      <w:r>
        <w:rPr>
          <w:b/>
          <w:bCs/>
          <w:color w:val="1A1A2E"/>
          <w:sz w:val="22"/>
          <w:szCs w:val="22"/>
        </w:rPr>
        <w:t xml:space="preserve">   ·   Contraseña: </w:t>
      </w:r>
      <w:r>
        <w:rPr>
          <w:rFonts w:ascii="Courier New" w:cs="Courier New" w:eastAsia="Courier New" w:hAnsi="Courier New"/>
          <w:color w:val="4F46E5"/>
          <w:sz w:val="22"/>
          <w:szCs w:val="22"/>
        </w:rPr>
        <w:t xml:space="preserve">knight2026</w:t>
      </w:r>
    </w:p>
    <w:p>
      <w:pPr>
        <w:pStyle w:val="Heading3"/>
        <w:spacing w:after="100" w:before="220"/>
      </w:pPr>
      <w:r>
        <w:rPr>
          <w:b/>
          <w:bCs/>
          <w:color w:val="4F46E5"/>
          <w:sz w:val="22"/>
          <w:szCs w:val="22"/>
        </w:rPr>
        <w:t xml:space="preserve">Paso 2 — Código 2FA</w:t>
      </w:r>
    </w:p>
    <w:p>
      <w:pPr>
        <w:spacing w:after="120" w:line="312"/>
      </w:pPr>
      <w:r>
        <w:rPr>
          <w:color w:val="1A1A2E"/>
          <w:sz w:val="22"/>
          <w:szCs w:val="22"/>
        </w:rPr>
        <w:t xml:space="preserve">Código secreto de letras y números (8 caracteres, configurable). Si es correcto, se concede acceso al Centro de Administración.</w:t>
      </w:r>
    </w:p>
    <w:p>
      <w:pPr>
        <w:shd w:fill="F1F5F9" w:color="auto" w:val="clear"/>
        <w:spacing w:after="160" w:before="40"/>
      </w:pPr>
      <w:r>
        <w:rPr>
          <w:b/>
          <w:bCs/>
          <w:color w:val="1A1A2E"/>
          <w:sz w:val="26"/>
          <w:szCs w:val="26"/>
        </w:rPr>
        <w:t xml:space="preserve">Código 2FA: </w:t>
      </w:r>
      <w:r>
        <w:rPr>
          <w:rFonts w:ascii="Courier New" w:cs="Courier New" w:eastAsia="Courier New" w:hAnsi="Courier New"/>
          <w:b/>
          <w:bCs/>
          <w:color w:val="D4A017"/>
          <w:sz w:val="26"/>
          <w:szCs w:val="26"/>
        </w:rPr>
        <w:t xml:space="preserve">KN7X9M2P</w:t>
      </w:r>
    </w:p>
    <w:p>
      <w:pPr>
        <w:pStyle w:val="Heading2"/>
        <w:spacing w:after="120" w:before="280"/>
      </w:pPr>
      <w:r>
        <w:rPr>
          <w:b/>
          <w:bCs/>
          <w:color w:val="D4A017"/>
          <w:sz w:val="28"/>
          <w:szCs w:val="28"/>
        </w:rPr>
        <w:t xml:space="preserve">4.4 Configuración de las credenciales</w:t>
      </w:r>
    </w:p>
    <w:p>
      <w:pPr>
        <w:spacing w:after="120" w:line="312"/>
      </w:pPr>
      <w:r>
        <w:rPr>
          <w:color w:val="1A1A2E"/>
          <w:sz w:val="22"/>
          <w:szCs w:val="22"/>
        </w:rPr>
        <w:t xml:space="preserve">Desde dentro del Centro de Administración, el primer tab "Credenciales Admin" permite al administrador configurar en cualquier momento:</w:t>
      </w:r>
    </w:p>
    <w:p>
      <w:pPr>
        <w:pStyle w:val="ListParagraph"/>
        <w:numPr>
          <w:ilvl w:val="0"/>
          <w:numId w:val="1"/>
        </w:numPr>
        <w:spacing w:after="80" w:line="312"/>
      </w:pPr>
      <w:r>
        <w:rPr>
          <w:color w:val="1A1A2E"/>
          <w:sz w:val="22"/>
          <w:szCs w:val="22"/>
        </w:rPr>
        <w:t xml:space="preserve">Usuario administrador (editable).</w:t>
      </w:r>
    </w:p>
    <w:p>
      <w:pPr>
        <w:pStyle w:val="ListParagraph"/>
        <w:numPr>
          <w:ilvl w:val="0"/>
          <w:numId w:val="1"/>
        </w:numPr>
        <w:spacing w:after="80" w:line="312"/>
      </w:pPr>
      <w:r>
        <w:rPr>
          <w:color w:val="1A1A2E"/>
          <w:sz w:val="22"/>
          <w:szCs w:val="22"/>
        </w:rPr>
        <w:t xml:space="preserve">Contraseña (con mostrar/ocultar; dejar en blanco para mantener la actual).</w:t>
      </w:r>
    </w:p>
    <w:p>
      <w:pPr>
        <w:pStyle w:val="ListParagraph"/>
        <w:numPr>
          <w:ilvl w:val="0"/>
          <w:numId w:val="1"/>
        </w:numPr>
        <w:spacing w:after="80" w:line="312"/>
      </w:pPr>
      <w:r>
        <w:rPr>
          <w:color w:val="1A1A2E"/>
          <w:sz w:val="22"/>
          <w:szCs w:val="22"/>
        </w:rPr>
        <w:t xml:space="preserve">Código 2FA (con botón "Generar código aleatorio" que crea uno nuevo de 8 caracteres alfanuméricos).</w:t>
      </w:r>
    </w:p>
    <w:p>
      <w:pPr>
        <w:pStyle w:val="ListParagraph"/>
        <w:numPr>
          <w:ilvl w:val="0"/>
          <w:numId w:val="1"/>
        </w:numPr>
        <w:spacing w:after="80" w:line="312"/>
      </w:pPr>
      <w:r>
        <w:rPr>
          <w:color w:val="1A1A2E"/>
          <w:sz w:val="22"/>
          <w:szCs w:val="22"/>
        </w:rPr>
        <w:t xml:space="preserve">Etiqueta MFA (texto descriptivo, ej. "Knight Admin MFA").</w:t>
      </w:r>
    </w:p>
    <w:p>
      <w:pPr>
        <w:pStyle w:val="ListParagraph"/>
        <w:numPr>
          <w:ilvl w:val="0"/>
          <w:numId w:val="1"/>
        </w:numPr>
        <w:spacing w:after="80" w:line="312"/>
      </w:pPr>
      <w:r>
        <w:rPr>
          <w:color w:val="1A1A2E"/>
          <w:sz w:val="22"/>
          <w:szCs w:val="22"/>
        </w:rPr>
        <w:t xml:space="preserve">Un botón "Probar flujo de login" que simula el flujo completo de 2 pasos para verificar antes de cerrar sesión.</w:t>
      </w:r>
    </w:p>
    <w:p>
      <w:pPr>
        <w:spacing w:after="120" w:line="312"/>
      </w:pPr>
      <w:r>
        <w:rPr>
          <w:color w:val="1A1A2E"/>
          <w:sz w:val="22"/>
          <w:szCs w:val="22"/>
        </w:rPr>
        <w:t xml:space="preserve">Las credenciales se guardan vía PUT /api/auth/admin y quedan registradas en el log inmutable de auditoría.</w:t>
      </w:r>
    </w:p>
    <w:p>
      <w:pPr>
        <w:pStyle w:val="Heading2"/>
        <w:spacing w:after="120" w:before="280"/>
      </w:pPr>
      <w:r>
        <w:rPr>
          <w:b/>
          <w:bCs/>
          <w:color w:val="D4A017"/>
          <w:sz w:val="28"/>
          <w:szCs w:val="28"/>
        </w:rPr>
        <w:t xml:space="preserve">4.5 Secciones del Centro de Administración</w:t>
      </w:r>
    </w:p>
    <w:p>
      <w:pPr>
        <w:spacing w:after="120" w:line="312"/>
      </w:pPr>
      <w:r>
        <w:rPr>
          <w:color w:val="1A1A2E"/>
          <w:sz w:val="22"/>
          <w:szCs w:val="22"/>
        </w:rPr>
        <w:t xml:space="preserve">Tras autenticarse, el Centro de Administración cuenta con 7 secciones (tabs):</w:t>
      </w:r>
    </w:p>
    <w:p>
      <w:pPr>
        <w:pStyle w:val="ListParagraph"/>
        <w:numPr>
          <w:ilvl w:val="0"/>
          <w:numId w:val="1"/>
        </w:numPr>
        <w:spacing w:after="80" w:line="312"/>
      </w:pPr>
      <w:r>
        <w:rPr>
          <w:color w:val="1A1A2E"/>
          <w:sz w:val="22"/>
          <w:szCs w:val="22"/>
        </w:rPr>
        <w:t xml:space="preserve">Credenciales Admin — gestión del usuario, contraseña y código 2FA.</w:t>
      </w:r>
    </w:p>
    <w:p>
      <w:pPr>
        <w:pStyle w:val="ListParagraph"/>
        <w:numPr>
          <w:ilvl w:val="0"/>
          <w:numId w:val="1"/>
        </w:numPr>
        <w:spacing w:after="80" w:line="312"/>
      </w:pPr>
      <w:r>
        <w:rPr>
          <w:color w:val="1A1A2E"/>
          <w:sz w:val="22"/>
          <w:szCs w:val="22"/>
        </w:rPr>
        <w:t xml:space="preserve">Configuración Global — todos los parámetros económicos, de precio/USD, seguridad, marca e integraciones.</w:t>
      </w:r>
    </w:p>
    <w:p>
      <w:pPr>
        <w:pStyle w:val="ListParagraph"/>
        <w:numPr>
          <w:ilvl w:val="0"/>
          <w:numId w:val="1"/>
        </w:numPr>
        <w:spacing w:after="80" w:line="312"/>
      </w:pPr>
      <w:r>
        <w:rPr>
          <w:color w:val="1A1A2E"/>
          <w:sz w:val="22"/>
          <w:szCs w:val="22"/>
        </w:rPr>
        <w:t xml:space="preserve">Planes de Anunciantes — CRUD completo de los 5 planes (con diamantes 1-5).</w:t>
      </w:r>
    </w:p>
    <w:p>
      <w:pPr>
        <w:pStyle w:val="ListParagraph"/>
        <w:numPr>
          <w:ilvl w:val="0"/>
          <w:numId w:val="1"/>
        </w:numPr>
        <w:spacing w:after="80" w:line="312"/>
      </w:pPr>
      <w:r>
        <w:rPr>
          <w:color w:val="1A1A2E"/>
          <w:sz w:val="22"/>
          <w:szCs w:val="22"/>
        </w:rPr>
        <w:t xml:space="preserve">Planes de Visitantes — CRUD de Estandar/Gold/Platinum.</w:t>
      </w:r>
    </w:p>
    <w:p>
      <w:pPr>
        <w:pStyle w:val="ListParagraph"/>
        <w:numPr>
          <w:ilvl w:val="0"/>
          <w:numId w:val="1"/>
        </w:numPr>
        <w:spacing w:after="80" w:line="312"/>
      </w:pPr>
      <w:r>
        <w:rPr>
          <w:color w:val="1A1A2E"/>
          <w:sz w:val="22"/>
          <w:szCs w:val="22"/>
        </w:rPr>
        <w:t xml:space="preserve">Tesorería — dashboard de las 7 sub-cuentas A1-A7 + panel de rentabilidad.</w:t>
      </w:r>
    </w:p>
    <w:p>
      <w:pPr>
        <w:pStyle w:val="ListParagraph"/>
        <w:numPr>
          <w:ilvl w:val="0"/>
          <w:numId w:val="1"/>
        </w:numPr>
        <w:spacing w:after="80" w:line="312"/>
      </w:pPr>
      <w:r>
        <w:rPr>
          <w:color w:val="1A1A2E"/>
          <w:sz w:val="22"/>
          <w:szCs w:val="22"/>
        </w:rPr>
        <w:t xml:space="preserve">Anuncios Laterales — CRUD de los banners laterales (left/right, con soporte GIF/banner/video).</w:t>
      </w:r>
    </w:p>
    <w:p>
      <w:pPr>
        <w:pStyle w:val="ListParagraph"/>
        <w:numPr>
          <w:ilvl w:val="0"/>
          <w:numId w:val="1"/>
        </w:numPr>
        <w:spacing w:after="80" w:line="312"/>
      </w:pPr>
      <w:r>
        <w:rPr>
          <w:color w:val="1A1A2E"/>
          <w:sz w:val="22"/>
          <w:szCs w:val="22"/>
        </w:rPr>
        <w:t xml:space="preserve">Auditoría &amp; Transparencia — log inmutable de todas las acciones.</w:t>
      </w:r>
    </w:p>
    <w:p>
      <w:pPr>
        <w:spacing w:after="120"/>
      </w:pPr>
    </w:p>
    <w:p>
      <w:pPr>
        <w:pStyle w:val="Heading1"/>
        <w:spacing w:after="160" w:before="360"/>
      </w:pPr>
      <w:r>
        <w:rPr>
          <w:b/>
          <w:bCs/>
          <w:color w:val="1A1A2E"/>
          <w:sz w:val="36"/>
          <w:szCs w:val="36"/>
        </w:rPr>
        <w:t xml:space="preserve">5. Pantalla de Inicio Pública (Landing Page)</w:t>
      </w:r>
    </w:p>
    <w:p>
      <w:pPr>
        <w:spacing w:after="120" w:line="312"/>
      </w:pPr>
      <w:r>
        <w:rPr>
          <w:color w:val="1A1A2E"/>
          <w:sz w:val="22"/>
          <w:szCs w:val="22"/>
        </w:rPr>
        <w:t xml:space="preserve">Antes del registro/login, todos los usuarios ven una pantalla pública que explica la plataforma y los dos esquemas de participación. Su objetivo es captar nuevos usuarios y aclarar el modelo de negocio.</w:t>
      </w:r>
    </w:p>
    <w:p>
      <w:pPr>
        <w:pStyle w:val="Heading3"/>
        <w:spacing w:after="100" w:before="220"/>
      </w:pPr>
      <w:r>
        <w:rPr>
          <w:b/>
          <w:bCs/>
          <w:color w:val="4F46E5"/>
          <w:sz w:val="22"/>
          <w:szCs w:val="22"/>
        </w:rPr>
        <w:t xml:space="preserve">Secciones de la landing</w:t>
      </w:r>
    </w:p>
    <w:p>
      <w:pPr>
        <w:pStyle w:val="ListParagraph"/>
        <w:numPr>
          <w:ilvl w:val="0"/>
          <w:numId w:val="1"/>
        </w:numPr>
        <w:spacing w:after="80" w:line="312"/>
      </w:pPr>
      <w:r>
        <w:rPr>
          <w:color w:val="1A1A2E"/>
          <w:sz w:val="22"/>
          <w:szCs w:val="22"/>
        </w:rPr>
        <w:t xml:space="preserve">Navbar con logo, navegación (Inicio/Anunciante/Visitante/Transparencia) y CTAs.</w:t>
      </w:r>
    </w:p>
    <w:p>
      <w:pPr>
        <w:pStyle w:val="ListParagraph"/>
        <w:numPr>
          <w:ilvl w:val="0"/>
          <w:numId w:val="1"/>
        </w:numPr>
        <w:spacing w:after="80" w:line="312"/>
      </w:pPr>
      <w:r>
        <w:rPr>
          <w:color w:val="1A1A2E"/>
          <w:sz w:val="22"/>
          <w:szCs w:val="22"/>
        </w:rPr>
        <w:t xml:space="preserve">Hero: titular grande, subheadline, dos CTAs (Quiero Anunciarme / Quiero Ganar $Knight), trust badges (100% transparente · Contabilidad interna instantánea · Red Solana solo para inversión/retiro).</w:t>
      </w:r>
    </w:p>
    <w:p>
      <w:pPr>
        <w:pStyle w:val="ListParagraph"/>
        <w:numPr>
          <w:ilvl w:val="0"/>
          <w:numId w:val="1"/>
        </w:numPr>
        <w:spacing w:after="80" w:line="312"/>
      </w:pPr>
      <w:r>
        <w:rPr>
          <w:color w:val="1A1A2E"/>
          <w:sz w:val="22"/>
          <w:szCs w:val="22"/>
        </w:rPr>
        <w:t xml:space="preserve">¿Qué es Knight Ads? — 3 feature cards (transparencia, contabilidad interna, red Solana).</w:t>
      </w:r>
    </w:p>
    <w:p>
      <w:pPr>
        <w:pStyle w:val="ListParagraph"/>
        <w:numPr>
          <w:ilvl w:val="0"/>
          <w:numId w:val="1"/>
        </w:numPr>
        <w:spacing w:after="80" w:line="312"/>
      </w:pPr>
      <w:r>
        <w:rPr>
          <w:color w:val="1A1A2E"/>
          <w:sz w:val="22"/>
          <w:szCs w:val="22"/>
        </w:rPr>
        <w:t xml:space="preserve">Esquemas de Participación — dos tarjetas (Anunciante / Visitante) con bullets y CTAs.</w:t>
      </w:r>
    </w:p>
    <w:p>
      <w:pPr>
        <w:pStyle w:val="ListParagraph"/>
        <w:numPr>
          <w:ilvl w:val="0"/>
          <w:numId w:val="1"/>
        </w:numPr>
        <w:spacing w:after="80" w:line="312"/>
      </w:pPr>
      <w:r>
        <w:rPr>
          <w:color w:val="1A1A2E"/>
          <w:sz w:val="22"/>
          <w:szCs w:val="22"/>
        </w:rPr>
        <w:t xml:space="preserve">Cómo Funciona — timeline de 5 pasos.</w:t>
      </w:r>
    </w:p>
    <w:p>
      <w:pPr>
        <w:pStyle w:val="ListParagraph"/>
        <w:numPr>
          <w:ilvl w:val="0"/>
          <w:numId w:val="1"/>
        </w:numPr>
        <w:spacing w:after="80" w:line="312"/>
      </w:pPr>
      <w:r>
        <w:rPr>
          <w:color w:val="1A1A2E"/>
          <w:sz w:val="22"/>
          <w:szCs w:val="22"/>
        </w:rPr>
        <w:t xml:space="preserve">Planes de Anunciante — 5 tarjetas con diamantes (1-5), precios y duraciones.</w:t>
      </w:r>
    </w:p>
    <w:p>
      <w:pPr>
        <w:pStyle w:val="ListParagraph"/>
        <w:numPr>
          <w:ilvl w:val="0"/>
          <w:numId w:val="1"/>
        </w:numPr>
        <w:spacing w:after="80" w:line="312"/>
      </w:pPr>
      <w:r>
        <w:rPr>
          <w:color w:val="1A1A2E"/>
          <w:sz w:val="22"/>
          <w:szCs w:val="22"/>
        </w:rPr>
        <w:t xml:space="preserve">CTA band final con llamada a la acción.</w:t>
      </w:r>
    </w:p>
    <w:p>
      <w:pPr>
        <w:pStyle w:val="Heading3"/>
        <w:spacing w:after="100" w:before="220"/>
      </w:pPr>
      <w:r>
        <w:rPr>
          <w:b/>
          <w:bCs/>
          <w:color w:val="4F46E5"/>
          <w:sz w:val="22"/>
          <w:szCs w:val="22"/>
        </w:rPr>
        <w:t xml:space="preserve">Reglas de la landing</w:t>
      </w:r>
    </w:p>
    <w:p>
      <w:pPr>
        <w:pStyle w:val="ListParagraph"/>
        <w:numPr>
          <w:ilvl w:val="0"/>
          <w:numId w:val="1"/>
        </w:numPr>
        <w:spacing w:after="80" w:line="312"/>
      </w:pPr>
      <w:r>
        <w:rPr>
          <w:color w:val="1A1A2E"/>
          <w:sz w:val="22"/>
          <w:szCs w:val="22"/>
        </w:rPr>
        <w:t xml:space="preserve">Acceso público: no requiere autenticación.</w:t>
      </w:r>
    </w:p>
    <w:p>
      <w:pPr>
        <w:pStyle w:val="ListParagraph"/>
        <w:numPr>
          <w:ilvl w:val="0"/>
          <w:numId w:val="1"/>
        </w:numPr>
        <w:spacing w:after="80" w:line="312"/>
      </w:pPr>
      <w:r>
        <w:rPr>
          <w:color w:val="1A1A2E"/>
          <w:sz w:val="22"/>
          <w:szCs w:val="22"/>
        </w:rPr>
        <w:t xml:space="preserve">Responsive: adaptada a móvil, tablet y desktop.</w:t>
      </w:r>
    </w:p>
    <w:p>
      <w:pPr>
        <w:pStyle w:val="ListParagraph"/>
        <w:numPr>
          <w:ilvl w:val="0"/>
          <w:numId w:val="1"/>
        </w:numPr>
        <w:spacing w:after="80" w:line="312"/>
      </w:pPr>
      <w:r>
        <w:rPr>
          <w:color w:val="1A1A2E"/>
          <w:sz w:val="22"/>
          <w:szCs w:val="22"/>
        </w:rPr>
        <w:t xml:space="preserve">Multi-idioma: soporta i18n desde el primer día.</w:t>
      </w:r>
    </w:p>
    <w:p>
      <w:pPr>
        <w:pStyle w:val="ListParagraph"/>
        <w:numPr>
          <w:ilvl w:val="0"/>
          <w:numId w:val="1"/>
        </w:numPr>
        <w:spacing w:after="80" w:line="312"/>
      </w:pPr>
      <w:r>
        <w:rPr>
          <w:color w:val="1A1A2E"/>
          <w:sz w:val="22"/>
          <w:szCs w:val="22"/>
        </w:rPr>
        <w:t xml:space="preserve">CTAs claros: llevan al flujo de registro con el rol pre-seleccionado.</w:t>
      </w:r>
    </w:p>
    <w:p>
      <w:pPr>
        <w:pStyle w:val="ListParagraph"/>
        <w:numPr>
          <w:ilvl w:val="0"/>
          <w:numId w:val="1"/>
        </w:numPr>
        <w:spacing w:after="80" w:line="312"/>
      </w:pPr>
      <w:r>
        <w:rPr>
          <w:color w:val="1A1A2E"/>
          <w:sz w:val="22"/>
          <w:szCs w:val="22"/>
        </w:rPr>
        <w:t xml:space="preserve">Enlaces a transparencia: acceso a Prueba de Reservas, Términos y Política de Privacidad.</w:t>
      </w:r>
    </w:p>
    <w:p>
      <w:pPr>
        <w:spacing w:after="120"/>
      </w:pPr>
    </w:p>
    <w:p>
      <w:pPr>
        <w:pStyle w:val="Heading1"/>
        <w:spacing w:after="160" w:before="360"/>
      </w:pPr>
      <w:r>
        <w:rPr>
          <w:b/>
          <w:bCs/>
          <w:color w:val="1A1A2E"/>
          <w:sz w:val="36"/>
          <w:szCs w:val="36"/>
        </w:rPr>
        <w:t xml:space="preserve">6. Portal del Anunciante</w:t>
      </w:r>
    </w:p>
    <w:p>
      <w:pPr>
        <w:spacing w:after="120" w:line="312"/>
      </w:pPr>
      <w:r>
        <w:rPr>
          <w:color w:val="1A1A2E"/>
          <w:sz w:val="22"/>
          <w:szCs w:val="22"/>
        </w:rPr>
        <w:t xml:space="preserve">Acceso: requiere registro previo. Una vez autenticado, el usuario puede cambiar entre este portal y el de Visitante sin re-registration.</w:t>
      </w:r>
    </w:p>
    <w:p>
      <w:pPr>
        <w:pStyle w:val="Heading3"/>
        <w:spacing w:after="100" w:before="220"/>
      </w:pPr>
      <w:r>
        <w:rPr>
          <w:b/>
          <w:bCs/>
          <w:color w:val="4F46E5"/>
          <w:sz w:val="22"/>
          <w:szCs w:val="22"/>
        </w:rPr>
        <w:t xml:space="preserve">Funcionalidades</w:t>
      </w:r>
    </w:p>
    <w:p>
      <w:pPr>
        <w:pStyle w:val="ListParagraph"/>
        <w:numPr>
          <w:ilvl w:val="0"/>
          <w:numId w:val="1"/>
        </w:numPr>
        <w:spacing w:after="80" w:line="312"/>
      </w:pPr>
      <w:r>
        <w:rPr>
          <w:color w:val="1A1A2E"/>
          <w:sz w:val="22"/>
          <w:szCs w:val="22"/>
        </w:rPr>
        <w:t xml:space="preserve">Wallet card: dirección Solana (con copiar), saldo $Knight, botón "Comprar $Knight vía Jupiter" (abre jup.ag).</w:t>
      </w:r>
    </w:p>
    <w:p>
      <w:pPr>
        <w:pStyle w:val="ListParagraph"/>
        <w:numPr>
          <w:ilvl w:val="0"/>
          <w:numId w:val="1"/>
        </w:numPr>
        <w:spacing w:after="80" w:line="312"/>
      </w:pPr>
      <w:r>
        <w:rPr>
          <w:color w:val="1A1A2E"/>
          <w:sz w:val="22"/>
          <w:szCs w:val="22"/>
        </w:rPr>
        <w:t xml:space="preserve">Resumen de actividad: anuncios activos, total gastado, vistas compradas/restantes.</w:t>
      </w:r>
    </w:p>
    <w:p>
      <w:pPr>
        <w:pStyle w:val="ListParagraph"/>
        <w:numPr>
          <w:ilvl w:val="0"/>
          <w:numId w:val="1"/>
        </w:numPr>
        <w:spacing w:after="80" w:line="312"/>
      </w:pPr>
      <w:r>
        <w:rPr>
          <w:color w:val="1A1A2E"/>
          <w:sz w:val="22"/>
          <w:szCs w:val="22"/>
        </w:rPr>
        <w:t xml:space="preserve">Tabla Mis Anuncios: título, plan (con diamantes), estado, vistas usadas/total (con barra de progreso), CTR, acciones (Pausar/Reanudar).</w:t>
      </w:r>
    </w:p>
    <w:p>
      <w:pPr>
        <w:pStyle w:val="ListParagraph"/>
        <w:numPr>
          <w:ilvl w:val="0"/>
          <w:numId w:val="1"/>
        </w:numPr>
        <w:spacing w:after="80" w:line="312"/>
      </w:pPr>
      <w:r>
        <w:rPr>
          <w:color w:val="1A1A2E"/>
          <w:sz w:val="22"/>
          <w:szCs w:val="22"/>
        </w:rPr>
        <w:t xml:space="preserve">Publicar nuevo anuncio: diálogo de 3 pasos (selección de plan → contenido + enlace → verificación anti-bot).</w:t>
      </w:r>
    </w:p>
    <w:p>
      <w:pPr>
        <w:pStyle w:val="ListParagraph"/>
        <w:numPr>
          <w:ilvl w:val="0"/>
          <w:numId w:val="1"/>
        </w:numPr>
        <w:spacing w:after="80" w:line="312"/>
      </w:pPr>
      <w:r>
        <w:rPr>
          <w:color w:val="1A1A2E"/>
          <w:sz w:val="22"/>
          <w:szCs w:val="22"/>
        </w:rPr>
        <w:t xml:space="preserve">Métricas: gráfico de barras de vistas por día (últimos 7 días).</w:t>
      </w:r>
    </w:p>
    <w:p>
      <w:pPr>
        <w:spacing w:after="120"/>
      </w:pPr>
    </w:p>
    <w:p>
      <w:pPr>
        <w:pStyle w:val="Heading1"/>
        <w:spacing w:after="160" w:before="360"/>
      </w:pPr>
      <w:r>
        <w:rPr>
          <w:b/>
          <w:bCs/>
          <w:color w:val="1A1A2E"/>
          <w:sz w:val="36"/>
          <w:szCs w:val="36"/>
        </w:rPr>
        <w:t xml:space="preserve">7. Portal del Visitante</w:t>
      </w:r>
    </w:p>
    <w:p>
      <w:pPr>
        <w:spacing w:after="120" w:line="312"/>
      </w:pPr>
      <w:r>
        <w:rPr>
          <w:color w:val="1A1A2E"/>
          <w:sz w:val="22"/>
          <w:szCs w:val="22"/>
        </w:rPr>
        <w:t xml:space="preserve">Acceso: requiere registro previo. El cambio de rol desde Anunciante es libre.</w:t>
      </w:r>
    </w:p>
    <w:p>
      <w:pPr>
        <w:pStyle w:val="Heading3"/>
        <w:spacing w:after="100" w:before="220"/>
      </w:pPr>
      <w:r>
        <w:rPr>
          <w:b/>
          <w:bCs/>
          <w:color w:val="4F46E5"/>
          <w:sz w:val="22"/>
          <w:szCs w:val="22"/>
        </w:rPr>
        <w:t xml:space="preserve">Funcionalidades</w:t>
      </w:r>
    </w:p>
    <w:p>
      <w:pPr>
        <w:pStyle w:val="ListParagraph"/>
        <w:numPr>
          <w:ilvl w:val="0"/>
          <w:numId w:val="1"/>
        </w:numPr>
        <w:spacing w:after="80" w:line="312"/>
      </w:pPr>
      <w:r>
        <w:rPr>
          <w:color w:val="1A1A2E"/>
          <w:sz w:val="22"/>
          <w:szCs w:val="22"/>
        </w:rPr>
        <w:t xml:space="preserve">Wallet de retiro (una sola vez, luego bloqueada 🔒).</w:t>
      </w:r>
    </w:p>
    <w:p>
      <w:pPr>
        <w:pStyle w:val="ListParagraph"/>
        <w:numPr>
          <w:ilvl w:val="0"/>
          <w:numId w:val="1"/>
        </w:numPr>
        <w:spacing w:after="80" w:line="312"/>
      </w:pPr>
      <w:r>
        <w:rPr>
          <w:color w:val="1A1A2E"/>
          <w:sz w:val="22"/>
          <w:szCs w:val="22"/>
        </w:rPr>
        <w:t xml:space="preserve">Plan activo: muestra el plan visitante actual con multiplicador, días restantes y botón "Mejorar plan".</w:t>
      </w:r>
    </w:p>
    <w:p>
      <w:pPr>
        <w:pStyle w:val="ListParagraph"/>
        <w:numPr>
          <w:ilvl w:val="0"/>
          <w:numId w:val="1"/>
        </w:numPr>
        <w:spacing w:after="80" w:line="312"/>
      </w:pPr>
      <w:r>
        <w:rPr>
          <w:color w:val="1A1A2E"/>
          <w:sz w:val="22"/>
          <w:szCs w:val="22"/>
        </w:rPr>
        <w:t xml:space="preserve">Ganancias de hoy: monto acumulado + gráfico de línea (7 días).</w:t>
      </w:r>
    </w:p>
    <w:p>
      <w:pPr>
        <w:pStyle w:val="ListParagraph"/>
        <w:numPr>
          <w:ilvl w:val="0"/>
          <w:numId w:val="1"/>
        </w:numPr>
        <w:spacing w:after="80" w:line="312"/>
      </w:pPr>
      <w:r>
        <w:rPr>
          <w:color w:val="1A1A2E"/>
          <w:sz w:val="22"/>
          <w:szCs w:val="22"/>
        </w:rPr>
        <w:t xml:space="preserve">Feed de Anuncios: ordenado por prioridad de plan (Permanente → Superior → Alta → Medio → Mínimo). Filtros por plan.</w:t>
      </w:r>
    </w:p>
    <w:p>
      <w:pPr>
        <w:pStyle w:val="ListParagraph"/>
        <w:numPr>
          <w:ilvl w:val="0"/>
          <w:numId w:val="1"/>
        </w:numPr>
        <w:spacing w:after="80" w:line="312"/>
      </w:pPr>
      <w:r>
        <w:rPr>
          <w:color w:val="1A1A2E"/>
          <w:sz w:val="22"/>
          <w:szCs w:val="22"/>
        </w:rPr>
        <w:t xml:space="preserve">Visor de anuncios (flujo dorado):</w:t>
      </w:r>
    </w:p>
    <w:p>
      <w:pPr>
        <w:pStyle w:val="ListParagraph"/>
        <w:numPr>
          <w:ilvl w:val="1"/>
          <w:numId w:val="1"/>
        </w:numPr>
        <w:spacing w:after="80" w:line="312"/>
      </w:pPr>
      <w:r>
        <w:rPr>
          <w:color w:val="1A1A2E"/>
          <w:sz w:val="22"/>
          <w:szCs w:val="22"/>
        </w:rPr>
        <w:t xml:space="preserve">Fase 1 — Countdown: temporizador con la duración requerida del plan (10-60s). Botón Continuar deshabilitado hasta llegar a 0.</w:t>
      </w:r>
    </w:p>
    <w:p>
      <w:pPr>
        <w:pStyle w:val="ListParagraph"/>
        <w:numPr>
          <w:ilvl w:val="1"/>
          <w:numId w:val="1"/>
        </w:numPr>
        <w:spacing w:after="80" w:line="312"/>
      </w:pPr>
      <w:r>
        <w:rPr>
          <w:color w:val="1A1A2E"/>
          <w:sz w:val="22"/>
          <w:szCs w:val="22"/>
        </w:rPr>
        <w:t xml:space="preserve">Fase 2 — Captcha con timeout: grid 3×3 de emojis. El visitante tiene 10 segundos (configurable) para seleccionar las casillas correctas y verificar. Si no lo completa a tiempo, la vista queda invalidada (sin reward).</w:t>
      </w:r>
    </w:p>
    <w:p>
      <w:pPr>
        <w:pStyle w:val="ListParagraph"/>
        <w:numPr>
          <w:ilvl w:val="1"/>
          <w:numId w:val="1"/>
        </w:numPr>
        <w:spacing w:after="80" w:line="312"/>
      </w:pPr>
      <w:r>
        <w:rPr>
          <w:color w:val="1A1A2E"/>
          <w:sz w:val="22"/>
          <w:szCs w:val="22"/>
        </w:rPr>
        <w:t xml:space="preserve">Fase 3 — Éxito: muestra el reward calculado (plan.precio × 40% / vistas × multiplicador). Botón "Reclamar y cerrar".</w:t>
      </w:r>
    </w:p>
    <w:p>
      <w:pPr>
        <w:pStyle w:val="ListParagraph"/>
        <w:numPr>
          <w:ilvl w:val="1"/>
          <w:numId w:val="1"/>
        </w:numPr>
        <w:spacing w:after="80" w:line="312"/>
      </w:pPr>
      <w:r>
        <w:rPr>
          <w:color w:val="1A1A2E"/>
          <w:sz w:val="22"/>
          <w:szCs w:val="22"/>
        </w:rPr>
        <w:t xml:space="preserve">Auto-apertura: al reclamar, se abre automáticamente el enlace del anuncio en una nueva pestaña del navegador.</w:t>
      </w:r>
    </w:p>
    <w:p>
      <w:pPr>
        <w:pStyle w:val="ListParagraph"/>
        <w:numPr>
          <w:ilvl w:val="0"/>
          <w:numId w:val="1"/>
        </w:numPr>
        <w:spacing w:after="80" w:line="312"/>
      </w:pPr>
      <w:r>
        <w:rPr>
          <w:color w:val="1A1A2E"/>
          <w:sz w:val="22"/>
          <w:szCs w:val="22"/>
        </w:rPr>
        <w:t xml:space="preserve">Anti-farming: si el usuario intenta ver el mismo anuncio dentro de la ventana de revisualización (24h por defecto), se muestra un estado "bloqueado" con countdown al próximo momento disponible.</w:t>
      </w:r>
    </w:p>
    <w:p>
      <w:pPr>
        <w:spacing w:after="120"/>
      </w:pPr>
    </w:p>
    <w:p>
      <w:pPr>
        <w:pStyle w:val="Heading1"/>
        <w:spacing w:after="160" w:before="360"/>
      </w:pPr>
      <w:r>
        <w:rPr>
          <w:b/>
          <w:bCs/>
          <w:color w:val="1A1A2E"/>
          <w:sz w:val="36"/>
          <w:szCs w:val="36"/>
        </w:rPr>
        <w:t xml:space="preserve">8. Planes de Anunciante (5 Niveles con Diamantes)</w:t>
      </w:r>
    </w:p>
    <w:p>
      <w:pPr>
        <w:spacing w:after="120" w:line="312"/>
      </w:pPr>
      <w:r>
        <w:rPr>
          <w:color w:val="1A1A2E"/>
          <w:sz w:val="22"/>
          <w:szCs w:val="22"/>
        </w:rPr>
        <w:t xml:space="preserve">Cada plan (paquete de vistas) se compra para UN anuncio específico. Si un anunciante desea publicar múltiples anuncios, debe adquirir un plan independiente para cada uno. No existe un saldo genérico de vistas compartidas entre anuncios.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Plan</w:t>
            </w:r>
          </w:p>
        </w:tc>
        <w:tc>
          <w:tcPr>
            <w:shd w:fill="1A1A2E" w:color="auto" w:val="clear"/>
            <w:tcMar>
              <w:top w:type="dxa" w:w="100"/>
              <w:left w:type="dxa" w:w="120"/>
              <w:bottom w:type="dxa" w:w="100"/>
              <w:right w:type="dxa" w:w="120"/>
            </w:tcMar>
          </w:tcPr>
          <w:p>
            <w:pPr>
              <w:jc w:val="center"/>
            </w:pPr>
            <w:r>
              <w:rPr>
                <w:b/>
                <w:bCs/>
                <w:color w:val="FFFFFF"/>
                <w:sz w:val="20"/>
                <w:szCs w:val="20"/>
              </w:rPr>
              <w:t xml:space="preserve">Diamantes</w:t>
            </w:r>
          </w:p>
        </w:tc>
        <w:tc>
          <w:tcPr>
            <w:shd w:fill="1A1A2E" w:color="auto" w:val="clear"/>
            <w:tcMar>
              <w:top w:type="dxa" w:w="100"/>
              <w:left w:type="dxa" w:w="120"/>
              <w:bottom w:type="dxa" w:w="100"/>
              <w:right w:type="dxa" w:w="120"/>
            </w:tcMar>
          </w:tcPr>
          <w:p>
            <w:pPr>
              <w:jc w:val="center"/>
            </w:pPr>
            <w:r>
              <w:rPr>
                <w:b/>
                <w:bCs/>
                <w:color w:val="FFFFFF"/>
                <w:sz w:val="20"/>
                <w:szCs w:val="20"/>
              </w:rPr>
              <w:t xml:space="preserve">Vistas</w:t>
            </w:r>
          </w:p>
        </w:tc>
        <w:tc>
          <w:tcPr>
            <w:shd w:fill="1A1A2E" w:color="auto" w:val="clear"/>
            <w:tcMar>
              <w:top w:type="dxa" w:w="100"/>
              <w:left w:type="dxa" w:w="120"/>
              <w:bottom w:type="dxa" w:w="100"/>
              <w:right w:type="dxa" w:w="120"/>
            </w:tcMar>
          </w:tcPr>
          <w:p>
            <w:pPr>
              <w:jc w:val="center"/>
            </w:pPr>
            <w:r>
              <w:rPr>
                <w:b/>
                <w:bCs/>
                <w:color w:val="FFFFFF"/>
                <w:sz w:val="20"/>
                <w:szCs w:val="20"/>
              </w:rPr>
              <w:t xml:space="preserve">Precio ($Kn)</w:t>
            </w:r>
          </w:p>
        </w:tc>
        <w:tc>
          <w:tcPr>
            <w:shd w:fill="1A1A2E" w:color="auto" w:val="clear"/>
            <w:tcMar>
              <w:top w:type="dxa" w:w="100"/>
              <w:left w:type="dxa" w:w="120"/>
              <w:bottom w:type="dxa" w:w="100"/>
              <w:right w:type="dxa" w:w="120"/>
            </w:tcMar>
          </w:tcPr>
          <w:p>
            <w:pPr>
              <w:jc w:val="center"/>
            </w:pPr>
            <w:r>
              <w:rPr>
                <w:b/>
                <w:bCs/>
                <w:color w:val="FFFFFF"/>
                <w:sz w:val="20"/>
                <w:szCs w:val="20"/>
              </w:rPr>
              <w:t xml:space="preserve">Duración</w:t>
            </w:r>
          </w:p>
        </w:tc>
        <w:tc>
          <w:tcPr>
            <w:shd w:fill="1A1A2E" w:color="auto" w:val="clear"/>
            <w:tcMar>
              <w:top w:type="dxa" w:w="100"/>
              <w:left w:type="dxa" w:w="120"/>
              <w:bottom w:type="dxa" w:w="100"/>
              <w:right w:type="dxa" w:w="120"/>
            </w:tcMar>
          </w:tcPr>
          <w:p>
            <w:pPr>
              <w:jc w:val="center"/>
            </w:pPr>
            <w:r>
              <w:rPr>
                <w:b/>
                <w:bCs/>
                <w:color w:val="FFFFFF"/>
                <w:sz w:val="20"/>
                <w:szCs w:val="20"/>
              </w:rPr>
              <w:t xml:space="preserve">Precio/Vista</w:t>
            </w:r>
          </w:p>
        </w:tc>
        <w:tc>
          <w:tcPr>
            <w:shd w:fill="1A1A2E" w:color="auto" w:val="clear"/>
            <w:tcMar>
              <w:top w:type="dxa" w:w="100"/>
              <w:left w:type="dxa" w:w="120"/>
              <w:bottom w:type="dxa" w:w="100"/>
              <w:right w:type="dxa" w:w="120"/>
            </w:tcMar>
          </w:tcPr>
          <w:p>
            <w:pPr>
              <w:jc w:val="center"/>
            </w:pPr>
            <w:r>
              <w:rPr>
                <w:b/>
                <w:bCs/>
                <w:color w:val="FFFFFF"/>
                <w:sz w:val="20"/>
                <w:szCs w:val="20"/>
              </w:rPr>
              <w:t xml:space="preserve">Posición Feed</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Mínimo</w:t>
            </w:r>
          </w:p>
        </w:tc>
        <w:tc>
          <w:tcPr>
            <w:shd w:fill="F1F5F9" w:color="auto" w:val="clear"/>
            <w:tcMar>
              <w:top w:type="dxa" w:w="100"/>
              <w:left w:type="dxa" w:w="120"/>
              <w:bottom w:type="dxa" w:w="100"/>
              <w:right w:type="dxa" w:w="120"/>
            </w:tcMar>
          </w:tcPr>
          <w:p>
            <w:r>
              <w:rPr>
                <w:b w:val="false"/>
                <w:bCs w:val="false"/>
                <w:color w:val="1A1A2E"/>
                <w:sz w:val="20"/>
                <w:szCs w:val="20"/>
              </w:rPr>
              <w:t xml:space="preserve">1 💎</w:t>
            </w:r>
          </w:p>
        </w:tc>
        <w:tc>
          <w:tcPr>
            <w:shd w:fill="F1F5F9" w:color="auto" w:val="clear"/>
            <w:tcMar>
              <w:top w:type="dxa" w:w="100"/>
              <w:left w:type="dxa" w:w="120"/>
              <w:bottom w:type="dxa" w:w="100"/>
              <w:right w:type="dxa" w:w="120"/>
            </w:tcMar>
          </w:tcPr>
          <w:p>
            <w:r>
              <w:rPr>
                <w:b w:val="false"/>
                <w:bCs w:val="false"/>
                <w:color w:val="1A1A2E"/>
                <w:sz w:val="20"/>
                <w:szCs w:val="20"/>
              </w:rPr>
              <w:t xml:space="preserve">1.000</w:t>
            </w:r>
          </w:p>
        </w:tc>
        <w:tc>
          <w:tcPr>
            <w:shd w:fill="F1F5F9" w:color="auto" w:val="clear"/>
            <w:tcMar>
              <w:top w:type="dxa" w:w="100"/>
              <w:left w:type="dxa" w:w="120"/>
              <w:bottom w:type="dxa" w:w="100"/>
              <w:right w:type="dxa" w:w="120"/>
            </w:tcMar>
          </w:tcPr>
          <w:p>
            <w:r>
              <w:rPr>
                <w:b w:val="false"/>
                <w:bCs w:val="false"/>
                <w:color w:val="1A1A2E"/>
                <w:sz w:val="20"/>
                <w:szCs w:val="20"/>
              </w:rPr>
              <w:t xml:space="preserve">1</w:t>
            </w:r>
          </w:p>
        </w:tc>
        <w:tc>
          <w:tcPr>
            <w:shd w:fill="F1F5F9" w:color="auto" w:val="clear"/>
            <w:tcMar>
              <w:top w:type="dxa" w:w="100"/>
              <w:left w:type="dxa" w:w="120"/>
              <w:bottom w:type="dxa" w:w="100"/>
              <w:right w:type="dxa" w:w="120"/>
            </w:tcMar>
          </w:tcPr>
          <w:p>
            <w:r>
              <w:rPr>
                <w:b w:val="false"/>
                <w:bCs w:val="false"/>
                <w:color w:val="1A1A2E"/>
                <w:sz w:val="20"/>
                <w:szCs w:val="20"/>
              </w:rPr>
              <w:t xml:space="preserve">10 s</w:t>
            </w:r>
          </w:p>
        </w:tc>
        <w:tc>
          <w:tcPr>
            <w:shd w:fill="F1F5F9" w:color="auto" w:val="clear"/>
            <w:tcMar>
              <w:top w:type="dxa" w:w="100"/>
              <w:left w:type="dxa" w:w="120"/>
              <w:bottom w:type="dxa" w:w="100"/>
              <w:right w:type="dxa" w:w="120"/>
            </w:tcMar>
          </w:tcPr>
          <w:p>
            <w:r>
              <w:rPr>
                <w:b w:val="false"/>
                <w:bCs w:val="false"/>
                <w:color w:val="1A1A2E"/>
                <w:sz w:val="20"/>
                <w:szCs w:val="20"/>
              </w:rPr>
              <w:t xml:space="preserve">0.001</w:t>
            </w:r>
          </w:p>
        </w:tc>
        <w:tc>
          <w:tcPr>
            <w:shd w:fill="F1F5F9" w:color="auto" w:val="clear"/>
            <w:tcMar>
              <w:top w:type="dxa" w:w="100"/>
              <w:left w:type="dxa" w:w="120"/>
              <w:bottom w:type="dxa" w:w="100"/>
              <w:right w:type="dxa" w:w="120"/>
            </w:tcMar>
          </w:tcPr>
          <w:p>
            <w:r>
              <w:rPr>
                <w:b w:val="false"/>
                <w:bCs w:val="false"/>
                <w:color w:val="1A1A2E"/>
                <w:sz w:val="20"/>
                <w:szCs w:val="20"/>
              </w:rPr>
              <w:t xml:space="preserve">Estándar</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Medio</w:t>
            </w:r>
          </w:p>
        </w:tc>
        <w:tc>
          <w:tcPr>
            <w:shd w:fill="FFFFFF" w:color="auto" w:val="clear"/>
            <w:tcMar>
              <w:top w:type="dxa" w:w="100"/>
              <w:left w:type="dxa" w:w="120"/>
              <w:bottom w:type="dxa" w:w="100"/>
              <w:right w:type="dxa" w:w="120"/>
            </w:tcMar>
          </w:tcPr>
          <w:p>
            <w:r>
              <w:rPr>
                <w:b w:val="false"/>
                <w:bCs w:val="false"/>
                <w:color w:val="1A1A2E"/>
                <w:sz w:val="20"/>
                <w:szCs w:val="20"/>
              </w:rPr>
              <w:t xml:space="preserve">2 💎</w:t>
            </w:r>
          </w:p>
        </w:tc>
        <w:tc>
          <w:tcPr>
            <w:shd w:fill="FFFFFF" w:color="auto" w:val="clear"/>
            <w:tcMar>
              <w:top w:type="dxa" w:w="100"/>
              <w:left w:type="dxa" w:w="120"/>
              <w:bottom w:type="dxa" w:w="100"/>
              <w:right w:type="dxa" w:w="120"/>
            </w:tcMar>
          </w:tcPr>
          <w:p>
            <w:r>
              <w:rPr>
                <w:b w:val="false"/>
                <w:bCs w:val="false"/>
                <w:color w:val="1A1A2E"/>
                <w:sz w:val="20"/>
                <w:szCs w:val="20"/>
              </w:rPr>
              <w:t xml:space="preserve">1.000</w:t>
            </w:r>
          </w:p>
        </w:tc>
        <w:tc>
          <w:tcPr>
            <w:shd w:fill="FFFFFF" w:color="auto" w:val="clear"/>
            <w:tcMar>
              <w:top w:type="dxa" w:w="100"/>
              <w:left w:type="dxa" w:w="120"/>
              <w:bottom w:type="dxa" w:w="100"/>
              <w:right w:type="dxa" w:w="120"/>
            </w:tcMar>
          </w:tcPr>
          <w:p>
            <w:r>
              <w:rPr>
                <w:b w:val="false"/>
                <w:bCs w:val="false"/>
                <w:color w:val="1A1A2E"/>
                <w:sz w:val="20"/>
                <w:szCs w:val="20"/>
              </w:rPr>
              <w:t xml:space="preserve">2</w:t>
            </w:r>
          </w:p>
        </w:tc>
        <w:tc>
          <w:tcPr>
            <w:shd w:fill="FFFFFF" w:color="auto" w:val="clear"/>
            <w:tcMar>
              <w:top w:type="dxa" w:w="100"/>
              <w:left w:type="dxa" w:w="120"/>
              <w:bottom w:type="dxa" w:w="100"/>
              <w:right w:type="dxa" w:w="120"/>
            </w:tcMar>
          </w:tcPr>
          <w:p>
            <w:r>
              <w:rPr>
                <w:b w:val="false"/>
                <w:bCs w:val="false"/>
                <w:color w:val="1A1A2E"/>
                <w:sz w:val="20"/>
                <w:szCs w:val="20"/>
              </w:rPr>
              <w:t xml:space="preserve">20 s</w:t>
            </w:r>
          </w:p>
        </w:tc>
        <w:tc>
          <w:tcPr>
            <w:shd w:fill="FFFFFF" w:color="auto" w:val="clear"/>
            <w:tcMar>
              <w:top w:type="dxa" w:w="100"/>
              <w:left w:type="dxa" w:w="120"/>
              <w:bottom w:type="dxa" w:w="100"/>
              <w:right w:type="dxa" w:w="120"/>
            </w:tcMar>
          </w:tcPr>
          <w:p>
            <w:r>
              <w:rPr>
                <w:b w:val="false"/>
                <w:bCs w:val="false"/>
                <w:color w:val="1A1A2E"/>
                <w:sz w:val="20"/>
                <w:szCs w:val="20"/>
              </w:rPr>
              <w:t xml:space="preserve">0.002</w:t>
            </w:r>
          </w:p>
        </w:tc>
        <w:tc>
          <w:tcPr>
            <w:shd w:fill="FFFFFF" w:color="auto" w:val="clear"/>
            <w:tcMar>
              <w:top w:type="dxa" w:w="100"/>
              <w:left w:type="dxa" w:w="120"/>
              <w:bottom w:type="dxa" w:w="100"/>
              <w:right w:type="dxa" w:w="120"/>
            </w:tcMar>
          </w:tcPr>
          <w:p>
            <w:r>
              <w:rPr>
                <w:b w:val="false"/>
                <w:bCs w:val="false"/>
                <w:color w:val="1A1A2E"/>
                <w:sz w:val="20"/>
                <w:szCs w:val="20"/>
              </w:rPr>
              <w:t xml:space="preserve">Mejor</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Alta</w:t>
            </w:r>
          </w:p>
        </w:tc>
        <w:tc>
          <w:tcPr>
            <w:shd w:fill="F1F5F9" w:color="auto" w:val="clear"/>
            <w:tcMar>
              <w:top w:type="dxa" w:w="100"/>
              <w:left w:type="dxa" w:w="120"/>
              <w:bottom w:type="dxa" w:w="100"/>
              <w:right w:type="dxa" w:w="120"/>
            </w:tcMar>
          </w:tcPr>
          <w:p>
            <w:r>
              <w:rPr>
                <w:b w:val="false"/>
                <w:bCs w:val="false"/>
                <w:color w:val="1A1A2E"/>
                <w:sz w:val="20"/>
                <w:szCs w:val="20"/>
              </w:rPr>
              <w:t xml:space="preserve">3 💎</w:t>
            </w:r>
          </w:p>
        </w:tc>
        <w:tc>
          <w:tcPr>
            <w:shd w:fill="F1F5F9" w:color="auto" w:val="clear"/>
            <w:tcMar>
              <w:top w:type="dxa" w:w="100"/>
              <w:left w:type="dxa" w:w="120"/>
              <w:bottom w:type="dxa" w:w="100"/>
              <w:right w:type="dxa" w:w="120"/>
            </w:tcMar>
          </w:tcPr>
          <w:p>
            <w:r>
              <w:rPr>
                <w:b w:val="false"/>
                <w:bCs w:val="false"/>
                <w:color w:val="1A1A2E"/>
                <w:sz w:val="20"/>
                <w:szCs w:val="20"/>
              </w:rPr>
              <w:t xml:space="preserve">1.000</w:t>
            </w:r>
          </w:p>
        </w:tc>
        <w:tc>
          <w:tcPr>
            <w:shd w:fill="F1F5F9" w:color="auto" w:val="clear"/>
            <w:tcMar>
              <w:top w:type="dxa" w:w="100"/>
              <w:left w:type="dxa" w:w="120"/>
              <w:bottom w:type="dxa" w:w="100"/>
              <w:right w:type="dxa" w:w="120"/>
            </w:tcMar>
          </w:tcPr>
          <w:p>
            <w:r>
              <w:rPr>
                <w:b w:val="false"/>
                <w:bCs w:val="false"/>
                <w:color w:val="1A1A2E"/>
                <w:sz w:val="20"/>
                <w:szCs w:val="20"/>
              </w:rPr>
              <w:t xml:space="preserve">3</w:t>
            </w:r>
          </w:p>
        </w:tc>
        <w:tc>
          <w:tcPr>
            <w:shd w:fill="F1F5F9" w:color="auto" w:val="clear"/>
            <w:tcMar>
              <w:top w:type="dxa" w:w="100"/>
              <w:left w:type="dxa" w:w="120"/>
              <w:bottom w:type="dxa" w:w="100"/>
              <w:right w:type="dxa" w:w="120"/>
            </w:tcMar>
          </w:tcPr>
          <w:p>
            <w:r>
              <w:rPr>
                <w:b w:val="false"/>
                <w:bCs w:val="false"/>
                <w:color w:val="1A1A2E"/>
                <w:sz w:val="20"/>
                <w:szCs w:val="20"/>
              </w:rPr>
              <w:t xml:space="preserve">30 s</w:t>
            </w:r>
          </w:p>
        </w:tc>
        <w:tc>
          <w:tcPr>
            <w:shd w:fill="F1F5F9" w:color="auto" w:val="clear"/>
            <w:tcMar>
              <w:top w:type="dxa" w:w="100"/>
              <w:left w:type="dxa" w:w="120"/>
              <w:bottom w:type="dxa" w:w="100"/>
              <w:right w:type="dxa" w:w="120"/>
            </w:tcMar>
          </w:tcPr>
          <w:p>
            <w:r>
              <w:rPr>
                <w:b w:val="false"/>
                <w:bCs w:val="false"/>
                <w:color w:val="1A1A2E"/>
                <w:sz w:val="20"/>
                <w:szCs w:val="20"/>
              </w:rPr>
              <w:t xml:space="preserve">0.003</w:t>
            </w:r>
          </w:p>
        </w:tc>
        <w:tc>
          <w:tcPr>
            <w:shd w:fill="F1F5F9" w:color="auto" w:val="clear"/>
            <w:tcMar>
              <w:top w:type="dxa" w:w="100"/>
              <w:left w:type="dxa" w:w="120"/>
              <w:bottom w:type="dxa" w:w="100"/>
              <w:right w:type="dxa" w:w="120"/>
            </w:tcMar>
          </w:tcPr>
          <w:p>
            <w:r>
              <w:rPr>
                <w:b w:val="false"/>
                <w:bCs w:val="false"/>
                <w:color w:val="1A1A2E"/>
                <w:sz w:val="20"/>
                <w:szCs w:val="20"/>
              </w:rPr>
              <w:t xml:space="preserve">Privilegiada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Superior</w:t>
            </w:r>
          </w:p>
        </w:tc>
        <w:tc>
          <w:tcPr>
            <w:shd w:fill="FFFFFF" w:color="auto" w:val="clear"/>
            <w:tcMar>
              <w:top w:type="dxa" w:w="100"/>
              <w:left w:type="dxa" w:w="120"/>
              <w:bottom w:type="dxa" w:w="100"/>
              <w:right w:type="dxa" w:w="120"/>
            </w:tcMar>
          </w:tcPr>
          <w:p>
            <w:r>
              <w:rPr>
                <w:b w:val="false"/>
                <w:bCs w:val="false"/>
                <w:color w:val="1A1A2E"/>
                <w:sz w:val="20"/>
                <w:szCs w:val="20"/>
              </w:rPr>
              <w:t xml:space="preserve">4 💎</w:t>
            </w:r>
          </w:p>
        </w:tc>
        <w:tc>
          <w:tcPr>
            <w:shd w:fill="FFFFFF" w:color="auto" w:val="clear"/>
            <w:tcMar>
              <w:top w:type="dxa" w:w="100"/>
              <w:left w:type="dxa" w:w="120"/>
              <w:bottom w:type="dxa" w:w="100"/>
              <w:right w:type="dxa" w:w="120"/>
            </w:tcMar>
          </w:tcPr>
          <w:p>
            <w:r>
              <w:rPr>
                <w:b w:val="false"/>
                <w:bCs w:val="false"/>
                <w:color w:val="1A1A2E"/>
                <w:sz w:val="20"/>
                <w:szCs w:val="20"/>
              </w:rPr>
              <w:t xml:space="preserve">1.500</w:t>
            </w:r>
          </w:p>
        </w:tc>
        <w:tc>
          <w:tcPr>
            <w:shd w:fill="FFFFFF" w:color="auto" w:val="clear"/>
            <w:tcMar>
              <w:top w:type="dxa" w:w="100"/>
              <w:left w:type="dxa" w:w="120"/>
              <w:bottom w:type="dxa" w:w="100"/>
              <w:right w:type="dxa" w:w="120"/>
            </w:tcMar>
          </w:tcPr>
          <w:p>
            <w:r>
              <w:rPr>
                <w:b w:val="false"/>
                <w:bCs w:val="false"/>
                <w:color w:val="1A1A2E"/>
                <w:sz w:val="20"/>
                <w:szCs w:val="20"/>
              </w:rPr>
              <w:t xml:space="preserve">5</w:t>
            </w:r>
          </w:p>
        </w:tc>
        <w:tc>
          <w:tcPr>
            <w:shd w:fill="FFFFFF" w:color="auto" w:val="clear"/>
            <w:tcMar>
              <w:top w:type="dxa" w:w="100"/>
              <w:left w:type="dxa" w:w="120"/>
              <w:bottom w:type="dxa" w:w="100"/>
              <w:right w:type="dxa" w:w="120"/>
            </w:tcMar>
          </w:tcPr>
          <w:p>
            <w:r>
              <w:rPr>
                <w:b w:val="false"/>
                <w:bCs w:val="false"/>
                <w:color w:val="1A1A2E"/>
                <w:sz w:val="20"/>
                <w:szCs w:val="20"/>
              </w:rPr>
              <w:t xml:space="preserve">45 s</w:t>
            </w:r>
          </w:p>
        </w:tc>
        <w:tc>
          <w:tcPr>
            <w:shd w:fill="FFFFFF" w:color="auto" w:val="clear"/>
            <w:tcMar>
              <w:top w:type="dxa" w:w="100"/>
              <w:left w:type="dxa" w:w="120"/>
              <w:bottom w:type="dxa" w:w="100"/>
              <w:right w:type="dxa" w:w="120"/>
            </w:tcMar>
          </w:tcPr>
          <w:p>
            <w:r>
              <w:rPr>
                <w:b w:val="false"/>
                <w:bCs w:val="false"/>
                <w:color w:val="1A1A2E"/>
                <w:sz w:val="20"/>
                <w:szCs w:val="20"/>
              </w:rPr>
              <w:t xml:space="preserve">0.0033</w:t>
            </w:r>
          </w:p>
        </w:tc>
        <w:tc>
          <w:tcPr>
            <w:shd w:fill="FFFFFF" w:color="auto" w:val="clear"/>
            <w:tcMar>
              <w:top w:type="dxa" w:w="100"/>
              <w:left w:type="dxa" w:w="120"/>
              <w:bottom w:type="dxa" w:w="100"/>
              <w:right w:type="dxa" w:w="120"/>
            </w:tcMar>
          </w:tcPr>
          <w:p>
            <w:r>
              <w:rPr>
                <w:b w:val="false"/>
                <w:bCs w:val="false"/>
                <w:color w:val="1A1A2E"/>
                <w:sz w:val="20"/>
                <w:szCs w:val="20"/>
              </w:rPr>
              <w:t xml:space="preserve">Alto impacto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Permanente</w:t>
            </w:r>
          </w:p>
        </w:tc>
        <w:tc>
          <w:tcPr>
            <w:shd w:fill="F1F5F9" w:color="auto" w:val="clear"/>
            <w:tcMar>
              <w:top w:type="dxa" w:w="100"/>
              <w:left w:type="dxa" w:w="120"/>
              <w:bottom w:type="dxa" w:w="100"/>
              <w:right w:type="dxa" w:w="120"/>
            </w:tcMar>
          </w:tcPr>
          <w:p>
            <w:r>
              <w:rPr>
                <w:b w:val="false"/>
                <w:bCs w:val="false"/>
                <w:color w:val="1A1A2E"/>
                <w:sz w:val="20"/>
                <w:szCs w:val="20"/>
              </w:rPr>
              <w:t xml:space="preserve">5 💎</w:t>
            </w:r>
          </w:p>
        </w:tc>
        <w:tc>
          <w:tcPr>
            <w:shd w:fill="F1F5F9" w:color="auto" w:val="clear"/>
            <w:tcMar>
              <w:top w:type="dxa" w:w="100"/>
              <w:left w:type="dxa" w:w="120"/>
              <w:bottom w:type="dxa" w:w="100"/>
              <w:right w:type="dxa" w:w="120"/>
            </w:tcMar>
          </w:tcPr>
          <w:p>
            <w:r>
              <w:rPr>
                <w:b w:val="false"/>
                <w:bCs w:val="false"/>
                <w:color w:val="1A1A2E"/>
                <w:sz w:val="20"/>
                <w:szCs w:val="20"/>
              </w:rPr>
              <w:t xml:space="preserve">2.000</w:t>
            </w:r>
          </w:p>
        </w:tc>
        <w:tc>
          <w:tcPr>
            <w:shd w:fill="F1F5F9" w:color="auto" w:val="clear"/>
            <w:tcMar>
              <w:top w:type="dxa" w:w="100"/>
              <w:left w:type="dxa" w:w="120"/>
              <w:bottom w:type="dxa" w:w="100"/>
              <w:right w:type="dxa" w:w="120"/>
            </w:tcMar>
          </w:tcPr>
          <w:p>
            <w:r>
              <w:rPr>
                <w:b w:val="false"/>
                <w:bCs w:val="false"/>
                <w:color w:val="1A1A2E"/>
                <w:sz w:val="20"/>
                <w:szCs w:val="20"/>
              </w:rPr>
              <w:t xml:space="preserve">10</w:t>
            </w:r>
          </w:p>
        </w:tc>
        <w:tc>
          <w:tcPr>
            <w:shd w:fill="F1F5F9" w:color="auto" w:val="clear"/>
            <w:tcMar>
              <w:top w:type="dxa" w:w="100"/>
              <w:left w:type="dxa" w:w="120"/>
              <w:bottom w:type="dxa" w:w="100"/>
              <w:right w:type="dxa" w:w="120"/>
            </w:tcMar>
          </w:tcPr>
          <w:p>
            <w:r>
              <w:rPr>
                <w:b w:val="false"/>
                <w:bCs w:val="false"/>
                <w:color w:val="1A1A2E"/>
                <w:sz w:val="20"/>
                <w:szCs w:val="20"/>
              </w:rPr>
              <w:t xml:space="preserve">60 s</w:t>
            </w:r>
          </w:p>
        </w:tc>
        <w:tc>
          <w:tcPr>
            <w:shd w:fill="F1F5F9" w:color="auto" w:val="clear"/>
            <w:tcMar>
              <w:top w:type="dxa" w:w="100"/>
              <w:left w:type="dxa" w:w="120"/>
              <w:bottom w:type="dxa" w:w="100"/>
              <w:right w:type="dxa" w:w="120"/>
            </w:tcMar>
          </w:tcPr>
          <w:p>
            <w:r>
              <w:rPr>
                <w:b w:val="false"/>
                <w:bCs w:val="false"/>
                <w:color w:val="1A1A2E"/>
                <w:sz w:val="20"/>
                <w:szCs w:val="20"/>
              </w:rPr>
              <w:t xml:space="preserve">0.005</w:t>
            </w:r>
          </w:p>
        </w:tc>
        <w:tc>
          <w:tcPr>
            <w:shd w:fill="F1F5F9" w:color="auto" w:val="clear"/>
            <w:tcMar>
              <w:top w:type="dxa" w:w="100"/>
              <w:left w:type="dxa" w:w="120"/>
              <w:bottom w:type="dxa" w:w="100"/>
              <w:right w:type="dxa" w:w="120"/>
            </w:tcMar>
          </w:tcPr>
          <w:p>
            <w:r>
              <w:rPr>
                <w:b w:val="false"/>
                <w:bCs w:val="false"/>
                <w:color w:val="1A1A2E"/>
                <w:sz w:val="20"/>
                <w:szCs w:val="20"/>
              </w:rPr>
              <w:t xml:space="preserve">Cima del feed</w:t>
            </w:r>
          </w:p>
        </w:tc>
      </w:tr>
    </w:tbl>
    <w:p>
      <w:pPr>
        <w:spacing w:after="120"/>
      </w:pPr>
    </w:p>
    <w:p>
      <w:pPr>
        <w:pStyle w:val="Heading2"/>
        <w:spacing w:after="120" w:before="280"/>
      </w:pPr>
      <w:r>
        <w:rPr>
          <w:b/>
          <w:bCs/>
          <w:color w:val="D4A017"/>
          <w:sz w:val="28"/>
          <w:szCs w:val="28"/>
        </w:rPr>
        <w:t xml:space="preserve">8.1 Distribución del pago por plan</w:t>
      </w:r>
    </w:p>
    <w:p>
      <w:pPr>
        <w:spacing w:after="120" w:line="312"/>
      </w:pPr>
      <w:r>
        <w:rPr>
          <w:color w:val="1A1A2E"/>
          <w:sz w:val="22"/>
          <w:szCs w:val="22"/>
        </w:rPr>
        <w:t xml:space="preserve">De cada paquete comprado, el 60% se destina a comisiones de plataforma y el 40% se reparte entre los visitantes que visualicen el anuncio asociado.</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Plan</w:t>
            </w:r>
          </w:p>
        </w:tc>
        <w:tc>
          <w:tcPr>
            <w:shd w:fill="1A1A2E" w:color="auto" w:val="clear"/>
            <w:tcMar>
              <w:top w:type="dxa" w:w="100"/>
              <w:left w:type="dxa" w:w="120"/>
              <w:bottom w:type="dxa" w:w="100"/>
              <w:right w:type="dxa" w:w="120"/>
            </w:tcMar>
          </w:tcPr>
          <w:p>
            <w:pPr>
              <w:jc w:val="center"/>
            </w:pPr>
            <w:r>
              <w:rPr>
                <w:b/>
                <w:bCs/>
                <w:color w:val="FFFFFF"/>
                <w:sz w:val="20"/>
                <w:szCs w:val="20"/>
              </w:rPr>
              <w:t xml:space="preserve">Precio</w:t>
            </w:r>
          </w:p>
        </w:tc>
        <w:tc>
          <w:tcPr>
            <w:shd w:fill="1A1A2E" w:color="auto" w:val="clear"/>
            <w:tcMar>
              <w:top w:type="dxa" w:w="100"/>
              <w:left w:type="dxa" w:w="120"/>
              <w:bottom w:type="dxa" w:w="100"/>
              <w:right w:type="dxa" w:w="120"/>
            </w:tcMar>
          </w:tcPr>
          <w:p>
            <w:pPr>
              <w:jc w:val="center"/>
            </w:pPr>
            <w:r>
              <w:rPr>
                <w:b/>
                <w:bCs/>
                <w:color w:val="FFFFFF"/>
                <w:sz w:val="20"/>
                <w:szCs w:val="20"/>
              </w:rPr>
              <w:t xml:space="preserve">Reward Total (40%)</w:t>
            </w:r>
          </w:p>
        </w:tc>
        <w:tc>
          <w:tcPr>
            <w:shd w:fill="1A1A2E" w:color="auto" w:val="clear"/>
            <w:tcMar>
              <w:top w:type="dxa" w:w="100"/>
              <w:left w:type="dxa" w:w="120"/>
              <w:bottom w:type="dxa" w:w="100"/>
              <w:right w:type="dxa" w:w="120"/>
            </w:tcMar>
          </w:tcPr>
          <w:p>
            <w:pPr>
              <w:jc w:val="center"/>
            </w:pPr>
            <w:r>
              <w:rPr>
                <w:b/>
                <w:bCs/>
                <w:color w:val="FFFFFF"/>
                <w:sz w:val="20"/>
                <w:szCs w:val="20"/>
              </w:rPr>
              <w:t xml:space="preserve">Reward/Vista (base)</w:t>
            </w:r>
          </w:p>
        </w:tc>
        <w:tc>
          <w:tcPr>
            <w:shd w:fill="1A1A2E" w:color="auto" w:val="clear"/>
            <w:tcMar>
              <w:top w:type="dxa" w:w="100"/>
              <w:left w:type="dxa" w:w="120"/>
              <w:bottom w:type="dxa" w:w="100"/>
              <w:right w:type="dxa" w:w="120"/>
            </w:tcMar>
          </w:tcPr>
          <w:p>
            <w:pPr>
              <w:jc w:val="center"/>
            </w:pPr>
            <w:r>
              <w:rPr>
                <w:b/>
                <w:bCs/>
                <w:color w:val="FFFFFF"/>
                <w:sz w:val="20"/>
                <w:szCs w:val="20"/>
              </w:rPr>
              <w:t xml:space="preserve">Comisión (60%)</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Mínimo</w:t>
            </w:r>
          </w:p>
        </w:tc>
        <w:tc>
          <w:tcPr>
            <w:shd w:fill="F1F5F9" w:color="auto" w:val="clear"/>
            <w:tcMar>
              <w:top w:type="dxa" w:w="100"/>
              <w:left w:type="dxa" w:w="120"/>
              <w:bottom w:type="dxa" w:w="100"/>
              <w:right w:type="dxa" w:w="120"/>
            </w:tcMar>
          </w:tcPr>
          <w:p>
            <w:r>
              <w:rPr>
                <w:b w:val="false"/>
                <w:bCs w:val="false"/>
                <w:color w:val="1A1A2E"/>
                <w:sz w:val="20"/>
                <w:szCs w:val="20"/>
              </w:rPr>
              <w:t xml:space="preserve">1 $Kn</w:t>
            </w:r>
          </w:p>
        </w:tc>
        <w:tc>
          <w:tcPr>
            <w:shd w:fill="F1F5F9" w:color="auto" w:val="clear"/>
            <w:tcMar>
              <w:top w:type="dxa" w:w="100"/>
              <w:left w:type="dxa" w:w="120"/>
              <w:bottom w:type="dxa" w:w="100"/>
              <w:right w:type="dxa" w:w="120"/>
            </w:tcMar>
          </w:tcPr>
          <w:p>
            <w:r>
              <w:rPr>
                <w:b w:val="false"/>
                <w:bCs w:val="false"/>
                <w:color w:val="1A1A2E"/>
                <w:sz w:val="20"/>
                <w:szCs w:val="20"/>
              </w:rPr>
              <w:t xml:space="preserve">0.4 $Kn</w:t>
            </w:r>
          </w:p>
        </w:tc>
        <w:tc>
          <w:tcPr>
            <w:shd w:fill="F1F5F9" w:color="auto" w:val="clear"/>
            <w:tcMar>
              <w:top w:type="dxa" w:w="100"/>
              <w:left w:type="dxa" w:w="120"/>
              <w:bottom w:type="dxa" w:w="100"/>
              <w:right w:type="dxa" w:w="120"/>
            </w:tcMar>
          </w:tcPr>
          <w:p>
            <w:r>
              <w:rPr>
                <w:b w:val="false"/>
                <w:bCs w:val="false"/>
                <w:color w:val="1A1A2E"/>
                <w:sz w:val="20"/>
                <w:szCs w:val="20"/>
              </w:rPr>
              <w:t xml:space="preserve">0.0004 $Kn</w:t>
            </w:r>
          </w:p>
        </w:tc>
        <w:tc>
          <w:tcPr>
            <w:shd w:fill="F1F5F9" w:color="auto" w:val="clear"/>
            <w:tcMar>
              <w:top w:type="dxa" w:w="100"/>
              <w:left w:type="dxa" w:w="120"/>
              <w:bottom w:type="dxa" w:w="100"/>
              <w:right w:type="dxa" w:w="120"/>
            </w:tcMar>
          </w:tcPr>
          <w:p>
            <w:r>
              <w:rPr>
                <w:b w:val="false"/>
                <w:bCs w:val="false"/>
                <w:color w:val="1A1A2E"/>
                <w:sz w:val="20"/>
                <w:szCs w:val="20"/>
              </w:rPr>
              <w:t xml:space="preserve">0.6 $Kn</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Medio</w:t>
            </w:r>
          </w:p>
        </w:tc>
        <w:tc>
          <w:tcPr>
            <w:shd w:fill="FFFFFF" w:color="auto" w:val="clear"/>
            <w:tcMar>
              <w:top w:type="dxa" w:w="100"/>
              <w:left w:type="dxa" w:w="120"/>
              <w:bottom w:type="dxa" w:w="100"/>
              <w:right w:type="dxa" w:w="120"/>
            </w:tcMar>
          </w:tcPr>
          <w:p>
            <w:r>
              <w:rPr>
                <w:b w:val="false"/>
                <w:bCs w:val="false"/>
                <w:color w:val="1A1A2E"/>
                <w:sz w:val="20"/>
                <w:szCs w:val="20"/>
              </w:rPr>
              <w:t xml:space="preserve">2 $Kn</w:t>
            </w:r>
          </w:p>
        </w:tc>
        <w:tc>
          <w:tcPr>
            <w:shd w:fill="FFFFFF" w:color="auto" w:val="clear"/>
            <w:tcMar>
              <w:top w:type="dxa" w:w="100"/>
              <w:left w:type="dxa" w:w="120"/>
              <w:bottom w:type="dxa" w:w="100"/>
              <w:right w:type="dxa" w:w="120"/>
            </w:tcMar>
          </w:tcPr>
          <w:p>
            <w:r>
              <w:rPr>
                <w:b w:val="false"/>
                <w:bCs w:val="false"/>
                <w:color w:val="1A1A2E"/>
                <w:sz w:val="20"/>
                <w:szCs w:val="20"/>
              </w:rPr>
              <w:t xml:space="preserve">0.8 $Kn</w:t>
            </w:r>
          </w:p>
        </w:tc>
        <w:tc>
          <w:tcPr>
            <w:shd w:fill="FFFFFF" w:color="auto" w:val="clear"/>
            <w:tcMar>
              <w:top w:type="dxa" w:w="100"/>
              <w:left w:type="dxa" w:w="120"/>
              <w:bottom w:type="dxa" w:w="100"/>
              <w:right w:type="dxa" w:w="120"/>
            </w:tcMar>
          </w:tcPr>
          <w:p>
            <w:r>
              <w:rPr>
                <w:b w:val="false"/>
                <w:bCs w:val="false"/>
                <w:color w:val="1A1A2E"/>
                <w:sz w:val="20"/>
                <w:szCs w:val="20"/>
              </w:rPr>
              <w:t xml:space="preserve">0.0008 $Kn</w:t>
            </w:r>
          </w:p>
        </w:tc>
        <w:tc>
          <w:tcPr>
            <w:shd w:fill="FFFFFF" w:color="auto" w:val="clear"/>
            <w:tcMar>
              <w:top w:type="dxa" w:w="100"/>
              <w:left w:type="dxa" w:w="120"/>
              <w:bottom w:type="dxa" w:w="100"/>
              <w:right w:type="dxa" w:w="120"/>
            </w:tcMar>
          </w:tcPr>
          <w:p>
            <w:r>
              <w:rPr>
                <w:b w:val="false"/>
                <w:bCs w:val="false"/>
                <w:color w:val="1A1A2E"/>
                <w:sz w:val="20"/>
                <w:szCs w:val="20"/>
              </w:rPr>
              <w:t xml:space="preserve">1.2 $Kn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Alta</w:t>
            </w:r>
          </w:p>
        </w:tc>
        <w:tc>
          <w:tcPr>
            <w:shd w:fill="F1F5F9" w:color="auto" w:val="clear"/>
            <w:tcMar>
              <w:top w:type="dxa" w:w="100"/>
              <w:left w:type="dxa" w:w="120"/>
              <w:bottom w:type="dxa" w:w="100"/>
              <w:right w:type="dxa" w:w="120"/>
            </w:tcMar>
          </w:tcPr>
          <w:p>
            <w:r>
              <w:rPr>
                <w:b w:val="false"/>
                <w:bCs w:val="false"/>
                <w:color w:val="1A1A2E"/>
                <w:sz w:val="20"/>
                <w:szCs w:val="20"/>
              </w:rPr>
              <w:t xml:space="preserve">3 $Kn</w:t>
            </w:r>
          </w:p>
        </w:tc>
        <w:tc>
          <w:tcPr>
            <w:shd w:fill="F1F5F9" w:color="auto" w:val="clear"/>
            <w:tcMar>
              <w:top w:type="dxa" w:w="100"/>
              <w:left w:type="dxa" w:w="120"/>
              <w:bottom w:type="dxa" w:w="100"/>
              <w:right w:type="dxa" w:w="120"/>
            </w:tcMar>
          </w:tcPr>
          <w:p>
            <w:r>
              <w:rPr>
                <w:b w:val="false"/>
                <w:bCs w:val="false"/>
                <w:color w:val="1A1A2E"/>
                <w:sz w:val="20"/>
                <w:szCs w:val="20"/>
              </w:rPr>
              <w:t xml:space="preserve">1.2 $Kn</w:t>
            </w:r>
          </w:p>
        </w:tc>
        <w:tc>
          <w:tcPr>
            <w:shd w:fill="F1F5F9" w:color="auto" w:val="clear"/>
            <w:tcMar>
              <w:top w:type="dxa" w:w="100"/>
              <w:left w:type="dxa" w:w="120"/>
              <w:bottom w:type="dxa" w:w="100"/>
              <w:right w:type="dxa" w:w="120"/>
            </w:tcMar>
          </w:tcPr>
          <w:p>
            <w:r>
              <w:rPr>
                <w:b w:val="false"/>
                <w:bCs w:val="false"/>
                <w:color w:val="1A1A2E"/>
                <w:sz w:val="20"/>
                <w:szCs w:val="20"/>
              </w:rPr>
              <w:t xml:space="preserve">0.0012 $Kn</w:t>
            </w:r>
          </w:p>
        </w:tc>
        <w:tc>
          <w:tcPr>
            <w:shd w:fill="F1F5F9" w:color="auto" w:val="clear"/>
            <w:tcMar>
              <w:top w:type="dxa" w:w="100"/>
              <w:left w:type="dxa" w:w="120"/>
              <w:bottom w:type="dxa" w:w="100"/>
              <w:right w:type="dxa" w:w="120"/>
            </w:tcMar>
          </w:tcPr>
          <w:p>
            <w:r>
              <w:rPr>
                <w:b w:val="false"/>
                <w:bCs w:val="false"/>
                <w:color w:val="1A1A2E"/>
                <w:sz w:val="20"/>
                <w:szCs w:val="20"/>
              </w:rPr>
              <w:t xml:space="preserve">1.8 $Kn</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Superior</w:t>
            </w:r>
          </w:p>
        </w:tc>
        <w:tc>
          <w:tcPr>
            <w:shd w:fill="FFFFFF" w:color="auto" w:val="clear"/>
            <w:tcMar>
              <w:top w:type="dxa" w:w="100"/>
              <w:left w:type="dxa" w:w="120"/>
              <w:bottom w:type="dxa" w:w="100"/>
              <w:right w:type="dxa" w:w="120"/>
            </w:tcMar>
          </w:tcPr>
          <w:p>
            <w:r>
              <w:rPr>
                <w:b w:val="false"/>
                <w:bCs w:val="false"/>
                <w:color w:val="1A1A2E"/>
                <w:sz w:val="20"/>
                <w:szCs w:val="20"/>
              </w:rPr>
              <w:t xml:space="preserve">5 $Kn</w:t>
            </w:r>
          </w:p>
        </w:tc>
        <w:tc>
          <w:tcPr>
            <w:shd w:fill="FFFFFF" w:color="auto" w:val="clear"/>
            <w:tcMar>
              <w:top w:type="dxa" w:w="100"/>
              <w:left w:type="dxa" w:w="120"/>
              <w:bottom w:type="dxa" w:w="100"/>
              <w:right w:type="dxa" w:w="120"/>
            </w:tcMar>
          </w:tcPr>
          <w:p>
            <w:r>
              <w:rPr>
                <w:b w:val="false"/>
                <w:bCs w:val="false"/>
                <w:color w:val="1A1A2E"/>
                <w:sz w:val="20"/>
                <w:szCs w:val="20"/>
              </w:rPr>
              <w:t xml:space="preserve">2.0 $Kn</w:t>
            </w:r>
          </w:p>
        </w:tc>
        <w:tc>
          <w:tcPr>
            <w:shd w:fill="FFFFFF" w:color="auto" w:val="clear"/>
            <w:tcMar>
              <w:top w:type="dxa" w:w="100"/>
              <w:left w:type="dxa" w:w="120"/>
              <w:bottom w:type="dxa" w:w="100"/>
              <w:right w:type="dxa" w:w="120"/>
            </w:tcMar>
          </w:tcPr>
          <w:p>
            <w:r>
              <w:rPr>
                <w:b w:val="false"/>
                <w:bCs w:val="false"/>
                <w:color w:val="1A1A2E"/>
                <w:sz w:val="20"/>
                <w:szCs w:val="20"/>
              </w:rPr>
              <w:t xml:space="preserve">0.00133 $Kn</w:t>
            </w:r>
          </w:p>
        </w:tc>
        <w:tc>
          <w:tcPr>
            <w:shd w:fill="FFFFFF" w:color="auto" w:val="clear"/>
            <w:tcMar>
              <w:top w:type="dxa" w:w="100"/>
              <w:left w:type="dxa" w:w="120"/>
              <w:bottom w:type="dxa" w:w="100"/>
              <w:right w:type="dxa" w:w="120"/>
            </w:tcMar>
          </w:tcPr>
          <w:p>
            <w:r>
              <w:rPr>
                <w:b w:val="false"/>
                <w:bCs w:val="false"/>
                <w:color w:val="1A1A2E"/>
                <w:sz w:val="20"/>
                <w:szCs w:val="20"/>
              </w:rPr>
              <w:t xml:space="preserve">3.0 $Kn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Permanente</w:t>
            </w:r>
          </w:p>
        </w:tc>
        <w:tc>
          <w:tcPr>
            <w:shd w:fill="F1F5F9" w:color="auto" w:val="clear"/>
            <w:tcMar>
              <w:top w:type="dxa" w:w="100"/>
              <w:left w:type="dxa" w:w="120"/>
              <w:bottom w:type="dxa" w:w="100"/>
              <w:right w:type="dxa" w:w="120"/>
            </w:tcMar>
          </w:tcPr>
          <w:p>
            <w:r>
              <w:rPr>
                <w:b w:val="false"/>
                <w:bCs w:val="false"/>
                <w:color w:val="1A1A2E"/>
                <w:sz w:val="20"/>
                <w:szCs w:val="20"/>
              </w:rPr>
              <w:t xml:space="preserve">10 $Kn</w:t>
            </w:r>
          </w:p>
        </w:tc>
        <w:tc>
          <w:tcPr>
            <w:shd w:fill="F1F5F9" w:color="auto" w:val="clear"/>
            <w:tcMar>
              <w:top w:type="dxa" w:w="100"/>
              <w:left w:type="dxa" w:w="120"/>
              <w:bottom w:type="dxa" w:w="100"/>
              <w:right w:type="dxa" w:w="120"/>
            </w:tcMar>
          </w:tcPr>
          <w:p>
            <w:r>
              <w:rPr>
                <w:b w:val="false"/>
                <w:bCs w:val="false"/>
                <w:color w:val="1A1A2E"/>
                <w:sz w:val="20"/>
                <w:szCs w:val="20"/>
              </w:rPr>
              <w:t xml:space="preserve">4.0 $Kn</w:t>
            </w:r>
          </w:p>
        </w:tc>
        <w:tc>
          <w:tcPr>
            <w:shd w:fill="F1F5F9" w:color="auto" w:val="clear"/>
            <w:tcMar>
              <w:top w:type="dxa" w:w="100"/>
              <w:left w:type="dxa" w:w="120"/>
              <w:bottom w:type="dxa" w:w="100"/>
              <w:right w:type="dxa" w:w="120"/>
            </w:tcMar>
          </w:tcPr>
          <w:p>
            <w:r>
              <w:rPr>
                <w:b w:val="false"/>
                <w:bCs w:val="false"/>
                <w:color w:val="1A1A2E"/>
                <w:sz w:val="20"/>
                <w:szCs w:val="20"/>
              </w:rPr>
              <w:t xml:space="preserve">0.002 $Kn</w:t>
            </w:r>
          </w:p>
        </w:tc>
        <w:tc>
          <w:tcPr>
            <w:shd w:fill="F1F5F9" w:color="auto" w:val="clear"/>
            <w:tcMar>
              <w:top w:type="dxa" w:w="100"/>
              <w:left w:type="dxa" w:w="120"/>
              <w:bottom w:type="dxa" w:w="100"/>
              <w:right w:type="dxa" w:w="120"/>
            </w:tcMar>
          </w:tcPr>
          <w:p>
            <w:r>
              <w:rPr>
                <w:b w:val="false"/>
                <w:bCs w:val="false"/>
                <w:color w:val="1A1A2E"/>
                <w:sz w:val="20"/>
                <w:szCs w:val="20"/>
              </w:rPr>
              <w:t xml:space="preserve">6.0 $Kn</w:t>
            </w:r>
          </w:p>
        </w:tc>
      </w:tr>
    </w:tbl>
    <w:p>
      <w:pPr>
        <w:spacing w:after="120" w:line="312"/>
      </w:pPr>
      <w:r>
        <w:rPr>
          <w:i/>
          <w:iCs/>
          <w:color w:val="1A1A2E"/>
          <w:sz w:val="20"/>
          <w:szCs w:val="20"/>
        </w:rPr>
        <w:t xml:space="preserve">Nota: Los visitantes con planes Gold (×2) o Platinum (×4) reciben el reward base multiplicado. El subsidio adicional es absorbido por la plataforma.</w:t>
      </w:r>
    </w:p>
    <w:p>
      <w:pPr>
        <w:spacing w:after="120"/>
      </w:pPr>
    </w:p>
    <w:p>
      <w:pPr>
        <w:pStyle w:val="Heading1"/>
        <w:spacing w:after="160" w:before="360"/>
      </w:pPr>
      <w:r>
        <w:rPr>
          <w:b/>
          <w:bCs/>
          <w:color w:val="1A1A2E"/>
          <w:sz w:val="36"/>
          <w:szCs w:val="36"/>
        </w:rPr>
        <w:t xml:space="preserve">9. Planes de Visitante (Multiplicadores)</w:t>
      </w:r>
    </w:p>
    <w:p>
      <w:pPr>
        <w:spacing w:after="120" w:line="312"/>
      </w:pPr>
      <w:r>
        <w:rPr>
          <w:color w:val="1A1A2E"/>
          <w:sz w:val="22"/>
          <w:szCs w:val="22"/>
        </w:rPr>
        <w:t xml:space="preserve">Los visitantes pueden mejorar sus ganancias suscribiéndose a planes de duración limitada. La duración del plan es configurable por el administrador (15 días por defecto).</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Plan</w:t>
            </w:r>
          </w:p>
        </w:tc>
        <w:tc>
          <w:tcPr>
            <w:shd w:fill="1A1A2E" w:color="auto" w:val="clear"/>
            <w:tcMar>
              <w:top w:type="dxa" w:w="100"/>
              <w:left w:type="dxa" w:w="120"/>
              <w:bottom w:type="dxa" w:w="100"/>
              <w:right w:type="dxa" w:w="120"/>
            </w:tcMar>
          </w:tcPr>
          <w:p>
            <w:pPr>
              <w:jc w:val="center"/>
            </w:pPr>
            <w:r>
              <w:rPr>
                <w:b/>
                <w:bCs/>
                <w:color w:val="FFFFFF"/>
                <w:sz w:val="20"/>
                <w:szCs w:val="20"/>
              </w:rPr>
              <w:t xml:space="preserve">Costo/Período</w:t>
            </w:r>
          </w:p>
        </w:tc>
        <w:tc>
          <w:tcPr>
            <w:shd w:fill="1A1A2E" w:color="auto" w:val="clear"/>
            <w:tcMar>
              <w:top w:type="dxa" w:w="100"/>
              <w:left w:type="dxa" w:w="120"/>
              <w:bottom w:type="dxa" w:w="100"/>
              <w:right w:type="dxa" w:w="120"/>
            </w:tcMar>
          </w:tcPr>
          <w:p>
            <w:pPr>
              <w:jc w:val="center"/>
            </w:pPr>
            <w:r>
              <w:rPr>
                <w:b/>
                <w:bCs/>
                <w:color w:val="FFFFFF"/>
                <w:sz w:val="20"/>
                <w:szCs w:val="20"/>
              </w:rPr>
              <w:t xml:space="preserve">Duración</w:t>
            </w:r>
          </w:p>
        </w:tc>
        <w:tc>
          <w:tcPr>
            <w:shd w:fill="1A1A2E" w:color="auto" w:val="clear"/>
            <w:tcMar>
              <w:top w:type="dxa" w:w="100"/>
              <w:left w:type="dxa" w:w="120"/>
              <w:bottom w:type="dxa" w:w="100"/>
              <w:right w:type="dxa" w:w="120"/>
            </w:tcMar>
          </w:tcPr>
          <w:p>
            <w:pPr>
              <w:jc w:val="center"/>
            </w:pPr>
            <w:r>
              <w:rPr>
                <w:b/>
                <w:bCs/>
                <w:color w:val="FFFFFF"/>
                <w:sz w:val="20"/>
                <w:szCs w:val="20"/>
              </w:rPr>
              <w:t xml:space="preserve">Multiplicador</w:t>
            </w:r>
          </w:p>
        </w:tc>
        <w:tc>
          <w:tcPr>
            <w:shd w:fill="1A1A2E" w:color="auto" w:val="clear"/>
            <w:tcMar>
              <w:top w:type="dxa" w:w="100"/>
              <w:left w:type="dxa" w:w="120"/>
              <w:bottom w:type="dxa" w:w="100"/>
              <w:right w:type="dxa" w:w="120"/>
            </w:tcMar>
          </w:tcPr>
          <w:p>
            <w:pPr>
              <w:jc w:val="center"/>
            </w:pPr>
            <w:r>
              <w:rPr>
                <w:b/>
                <w:bCs/>
                <w:color w:val="FFFFFF"/>
                <w:sz w:val="20"/>
                <w:szCs w:val="20"/>
              </w:rPr>
              <w:t xml:space="preserve">Límite Vistas/Día</w:t>
            </w:r>
          </w:p>
        </w:tc>
        <w:tc>
          <w:tcPr>
            <w:shd w:fill="1A1A2E" w:color="auto" w:val="clear"/>
            <w:tcMar>
              <w:top w:type="dxa" w:w="100"/>
              <w:left w:type="dxa" w:w="120"/>
              <w:bottom w:type="dxa" w:w="100"/>
              <w:right w:type="dxa" w:w="120"/>
            </w:tcMar>
          </w:tcPr>
          <w:p>
            <w:pPr>
              <w:jc w:val="center"/>
            </w:pPr>
            <w:r>
              <w:rPr>
                <w:b/>
                <w:bCs/>
                <w:color w:val="FFFFFF"/>
                <w:sz w:val="20"/>
                <w:szCs w:val="20"/>
              </w:rPr>
              <w:t xml:space="preserve">Prioridad</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Estandar</w:t>
            </w:r>
          </w:p>
        </w:tc>
        <w:tc>
          <w:tcPr>
            <w:shd w:fill="F1F5F9" w:color="auto" w:val="clear"/>
            <w:tcMar>
              <w:top w:type="dxa" w:w="100"/>
              <w:left w:type="dxa" w:w="120"/>
              <w:bottom w:type="dxa" w:w="100"/>
              <w:right w:type="dxa" w:w="120"/>
            </w:tcMar>
          </w:tcPr>
          <w:p>
            <w:r>
              <w:rPr>
                <w:b w:val="false"/>
                <w:bCs w:val="false"/>
                <w:color w:val="1A1A2E"/>
                <w:sz w:val="20"/>
                <w:szCs w:val="20"/>
              </w:rPr>
              <w:t xml:space="preserve">Gratis</w:t>
            </w:r>
          </w:p>
        </w:tc>
        <w:tc>
          <w:tcPr>
            <w:shd w:fill="F1F5F9" w:color="auto" w:val="clear"/>
            <w:tcMar>
              <w:top w:type="dxa" w:w="100"/>
              <w:left w:type="dxa" w:w="120"/>
              <w:bottom w:type="dxa" w:w="100"/>
              <w:right w:type="dxa" w:w="120"/>
            </w:tcMar>
          </w:tcPr>
          <w:p>
            <w:r>
              <w:rPr>
                <w:b w:val="false"/>
                <w:bCs w:val="false"/>
                <w:color w:val="1A1A2E"/>
                <w:sz w:val="20"/>
                <w:szCs w:val="20"/>
              </w:rPr>
              <w:t xml:space="preserve">Permanente</w:t>
            </w:r>
          </w:p>
        </w:tc>
        <w:tc>
          <w:tcPr>
            <w:shd w:fill="F1F5F9" w:color="auto" w:val="clear"/>
            <w:tcMar>
              <w:top w:type="dxa" w:w="100"/>
              <w:left w:type="dxa" w:w="120"/>
              <w:bottom w:type="dxa" w:w="100"/>
              <w:right w:type="dxa" w:w="120"/>
            </w:tcMar>
          </w:tcPr>
          <w:p>
            <w:r>
              <w:rPr>
                <w:b w:val="false"/>
                <w:bCs w:val="false"/>
                <w:color w:val="1A1A2E"/>
                <w:sz w:val="20"/>
                <w:szCs w:val="20"/>
              </w:rPr>
              <w:t xml:space="preserve">×1.0</w:t>
            </w:r>
          </w:p>
        </w:tc>
        <w:tc>
          <w:tcPr>
            <w:shd w:fill="F1F5F9" w:color="auto" w:val="clear"/>
            <w:tcMar>
              <w:top w:type="dxa" w:w="100"/>
              <w:left w:type="dxa" w:w="120"/>
              <w:bottom w:type="dxa" w:w="100"/>
              <w:right w:type="dxa" w:w="120"/>
            </w:tcMar>
          </w:tcPr>
          <w:p>
            <w:r>
              <w:rPr>
                <w:b w:val="false"/>
                <w:bCs w:val="false"/>
                <w:color w:val="1A1A2E"/>
                <w:sz w:val="20"/>
                <w:szCs w:val="20"/>
              </w:rPr>
              <w:t xml:space="preserve">Ilimitadas</w:t>
            </w:r>
          </w:p>
        </w:tc>
        <w:tc>
          <w:tcPr>
            <w:shd w:fill="F1F5F9" w:color="auto" w:val="clear"/>
            <w:tcMar>
              <w:top w:type="dxa" w:w="100"/>
              <w:left w:type="dxa" w:w="120"/>
              <w:bottom w:type="dxa" w:w="100"/>
              <w:right w:type="dxa" w:w="120"/>
            </w:tcMar>
          </w:tcPr>
          <w:p>
            <w:r>
              <w:rPr>
                <w:b w:val="false"/>
                <w:bCs w:val="false"/>
                <w:color w:val="1A1A2E"/>
                <w:sz w:val="20"/>
                <w:szCs w:val="20"/>
              </w:rPr>
              <w:t xml:space="preserve">100</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Gold</w:t>
            </w:r>
          </w:p>
        </w:tc>
        <w:tc>
          <w:tcPr>
            <w:shd w:fill="FFFFFF" w:color="auto" w:val="clear"/>
            <w:tcMar>
              <w:top w:type="dxa" w:w="100"/>
              <w:left w:type="dxa" w:w="120"/>
              <w:bottom w:type="dxa" w:w="100"/>
              <w:right w:type="dxa" w:w="120"/>
            </w:tcMar>
          </w:tcPr>
          <w:p>
            <w:r>
              <w:rPr>
                <w:b w:val="false"/>
                <w:bCs w:val="false"/>
                <w:color w:val="1A1A2E"/>
                <w:sz w:val="20"/>
                <w:szCs w:val="20"/>
              </w:rPr>
              <w:t xml:space="preserve">50 $Kn</w:t>
            </w:r>
          </w:p>
        </w:tc>
        <w:tc>
          <w:tcPr>
            <w:shd w:fill="FFFFFF" w:color="auto" w:val="clear"/>
            <w:tcMar>
              <w:top w:type="dxa" w:w="100"/>
              <w:left w:type="dxa" w:w="120"/>
              <w:bottom w:type="dxa" w:w="100"/>
              <w:right w:type="dxa" w:w="120"/>
            </w:tcMar>
          </w:tcPr>
          <w:p>
            <w:r>
              <w:rPr>
                <w:b w:val="false"/>
                <w:bCs w:val="false"/>
                <w:color w:val="1A1A2E"/>
                <w:sz w:val="20"/>
                <w:szCs w:val="20"/>
              </w:rPr>
              <w:t xml:space="preserve">15 días</w:t>
            </w:r>
          </w:p>
        </w:tc>
        <w:tc>
          <w:tcPr>
            <w:shd w:fill="FFFFFF" w:color="auto" w:val="clear"/>
            <w:tcMar>
              <w:top w:type="dxa" w:w="100"/>
              <w:left w:type="dxa" w:w="120"/>
              <w:bottom w:type="dxa" w:w="100"/>
              <w:right w:type="dxa" w:w="120"/>
            </w:tcMar>
          </w:tcPr>
          <w:p>
            <w:r>
              <w:rPr>
                <w:b w:val="false"/>
                <w:bCs w:val="false"/>
                <w:color w:val="1A1A2E"/>
                <w:sz w:val="20"/>
                <w:szCs w:val="20"/>
              </w:rPr>
              <w:t xml:space="preserve">×2.0</w:t>
            </w:r>
          </w:p>
        </w:tc>
        <w:tc>
          <w:tcPr>
            <w:shd w:fill="FFFFFF" w:color="auto" w:val="clear"/>
            <w:tcMar>
              <w:top w:type="dxa" w:w="100"/>
              <w:left w:type="dxa" w:w="120"/>
              <w:bottom w:type="dxa" w:w="100"/>
              <w:right w:type="dxa" w:w="120"/>
            </w:tcMar>
          </w:tcPr>
          <w:p>
            <w:r>
              <w:rPr>
                <w:b w:val="false"/>
                <w:bCs w:val="false"/>
                <w:color w:val="1A1A2E"/>
                <w:sz w:val="20"/>
                <w:szCs w:val="20"/>
              </w:rPr>
              <w:t xml:space="preserve">500</w:t>
            </w:r>
          </w:p>
        </w:tc>
        <w:tc>
          <w:tcPr>
            <w:shd w:fill="FFFFFF" w:color="auto" w:val="clear"/>
            <w:tcMar>
              <w:top w:type="dxa" w:w="100"/>
              <w:left w:type="dxa" w:w="120"/>
              <w:bottom w:type="dxa" w:w="100"/>
              <w:right w:type="dxa" w:w="120"/>
            </w:tcMar>
          </w:tcPr>
          <w:p>
            <w:r>
              <w:rPr>
                <w:b w:val="false"/>
                <w:bCs w:val="false"/>
                <w:color w:val="1A1A2E"/>
                <w:sz w:val="20"/>
                <w:szCs w:val="20"/>
              </w:rPr>
              <w:t xml:space="preserve">200</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Platinum</w:t>
            </w:r>
          </w:p>
        </w:tc>
        <w:tc>
          <w:tcPr>
            <w:shd w:fill="F1F5F9" w:color="auto" w:val="clear"/>
            <w:tcMar>
              <w:top w:type="dxa" w:w="100"/>
              <w:left w:type="dxa" w:w="120"/>
              <w:bottom w:type="dxa" w:w="100"/>
              <w:right w:type="dxa" w:w="120"/>
            </w:tcMar>
          </w:tcPr>
          <w:p>
            <w:r>
              <w:rPr>
                <w:b w:val="false"/>
                <w:bCs w:val="false"/>
                <w:color w:val="1A1A2E"/>
                <w:sz w:val="20"/>
                <w:szCs w:val="20"/>
              </w:rPr>
              <w:t xml:space="preserve">150 $Kn</w:t>
            </w:r>
          </w:p>
        </w:tc>
        <w:tc>
          <w:tcPr>
            <w:shd w:fill="F1F5F9" w:color="auto" w:val="clear"/>
            <w:tcMar>
              <w:top w:type="dxa" w:w="100"/>
              <w:left w:type="dxa" w:w="120"/>
              <w:bottom w:type="dxa" w:w="100"/>
              <w:right w:type="dxa" w:w="120"/>
            </w:tcMar>
          </w:tcPr>
          <w:p>
            <w:r>
              <w:rPr>
                <w:b w:val="false"/>
                <w:bCs w:val="false"/>
                <w:color w:val="1A1A2E"/>
                <w:sz w:val="20"/>
                <w:szCs w:val="20"/>
              </w:rPr>
              <w:t xml:space="preserve">15 días</w:t>
            </w:r>
          </w:p>
        </w:tc>
        <w:tc>
          <w:tcPr>
            <w:shd w:fill="F1F5F9" w:color="auto" w:val="clear"/>
            <w:tcMar>
              <w:top w:type="dxa" w:w="100"/>
              <w:left w:type="dxa" w:w="120"/>
              <w:bottom w:type="dxa" w:w="100"/>
              <w:right w:type="dxa" w:w="120"/>
            </w:tcMar>
          </w:tcPr>
          <w:p>
            <w:r>
              <w:rPr>
                <w:b w:val="false"/>
                <w:bCs w:val="false"/>
                <w:color w:val="1A1A2E"/>
                <w:sz w:val="20"/>
                <w:szCs w:val="20"/>
              </w:rPr>
              <w:t xml:space="preserve">×4.0</w:t>
            </w:r>
          </w:p>
        </w:tc>
        <w:tc>
          <w:tcPr>
            <w:shd w:fill="F1F5F9" w:color="auto" w:val="clear"/>
            <w:tcMar>
              <w:top w:type="dxa" w:w="100"/>
              <w:left w:type="dxa" w:w="120"/>
              <w:bottom w:type="dxa" w:w="100"/>
              <w:right w:type="dxa" w:w="120"/>
            </w:tcMar>
          </w:tcPr>
          <w:p>
            <w:r>
              <w:rPr>
                <w:b w:val="false"/>
                <w:bCs w:val="false"/>
                <w:color w:val="1A1A2E"/>
                <w:sz w:val="20"/>
                <w:szCs w:val="20"/>
              </w:rPr>
              <w:t xml:space="preserve">1000</w:t>
            </w:r>
          </w:p>
        </w:tc>
        <w:tc>
          <w:tcPr>
            <w:shd w:fill="F1F5F9" w:color="auto" w:val="clear"/>
            <w:tcMar>
              <w:top w:type="dxa" w:w="100"/>
              <w:left w:type="dxa" w:w="120"/>
              <w:bottom w:type="dxa" w:w="100"/>
              <w:right w:type="dxa" w:w="120"/>
            </w:tcMar>
          </w:tcPr>
          <w:p>
            <w:r>
              <w:rPr>
                <w:b w:val="false"/>
                <w:bCs w:val="false"/>
                <w:color w:val="1A1A2E"/>
                <w:sz w:val="20"/>
                <w:szCs w:val="20"/>
              </w:rPr>
              <w:t xml:space="preserve">300</w:t>
            </w:r>
          </w:p>
        </w:tc>
      </w:tr>
    </w:tbl>
    <w:p>
      <w:pPr>
        <w:spacing w:after="120" w:line="312"/>
      </w:pPr>
      <w:r>
        <w:rPr>
          <w:i/>
          <w:iCs/>
          <w:color w:val="1A1A2E"/>
          <w:sz w:val="20"/>
          <w:szCs w:val="20"/>
        </w:rPr>
        <w:t xml:space="preserve">Al finalizar el período de duración, el plan vuelve automáticamente a Estandar a menos que el usuario lo renueve.</w:t>
      </w:r>
    </w:p>
    <w:p>
      <w:pPr>
        <w:spacing w:after="120"/>
      </w:pPr>
    </w:p>
    <w:p>
      <w:pPr>
        <w:pStyle w:val="Heading1"/>
        <w:spacing w:after="160" w:before="360"/>
      </w:pPr>
      <w:r>
        <w:rPr>
          <w:b/>
          <w:bCs/>
          <w:color w:val="1A1A2E"/>
          <w:sz w:val="36"/>
          <w:szCs w:val="36"/>
        </w:rPr>
        <w:t xml:space="preserve">10. Tesorería Centralizada (Sub-Cuentas A1–A7)</w:t>
      </w:r>
    </w:p>
    <w:p>
      <w:pPr>
        <w:spacing w:after="120" w:line="312"/>
      </w:pPr>
      <w:r>
        <w:rPr>
          <w:color w:val="1A1A2E"/>
          <w:sz w:val="22"/>
          <w:szCs w:val="22"/>
        </w:rPr>
        <w:t xml:space="preserve">Todos los fondos fluyen a través de la Wallet del Sistema, dividida en 7 sub-cuentas internas: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Código</w:t>
            </w:r>
          </w:p>
        </w:tc>
        <w:tc>
          <w:tcPr>
            <w:shd w:fill="1A1A2E" w:color="auto" w:val="clear"/>
            <w:tcMar>
              <w:top w:type="dxa" w:w="100"/>
              <w:left w:type="dxa" w:w="120"/>
              <w:bottom w:type="dxa" w:w="100"/>
              <w:right w:type="dxa" w:w="120"/>
            </w:tcMar>
          </w:tcPr>
          <w:p>
            <w:pPr>
              <w:jc w:val="center"/>
            </w:pPr>
            <w:r>
              <w:rPr>
                <w:b/>
                <w:bCs/>
                <w:color w:val="FFFFFF"/>
                <w:sz w:val="20"/>
                <w:szCs w:val="20"/>
              </w:rPr>
              <w:t xml:space="preserve">Nombre</w:t>
            </w:r>
          </w:p>
        </w:tc>
        <w:tc>
          <w:tcPr>
            <w:shd w:fill="1A1A2E" w:color="auto" w:val="clear"/>
            <w:tcMar>
              <w:top w:type="dxa" w:w="100"/>
              <w:left w:type="dxa" w:w="120"/>
              <w:bottom w:type="dxa" w:w="100"/>
              <w:right w:type="dxa" w:w="120"/>
            </w:tcMar>
          </w:tcPr>
          <w:p>
            <w:pPr>
              <w:jc w:val="center"/>
            </w:pPr>
            <w:r>
              <w:rPr>
                <w:b/>
                <w:bCs/>
                <w:color w:val="FFFFFF"/>
                <w:sz w:val="20"/>
                <w:szCs w:val="20"/>
              </w:rPr>
              <w:t xml:space="preserve">Descripción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A1</w:t>
            </w:r>
          </w:p>
        </w:tc>
        <w:tc>
          <w:tcPr>
            <w:shd w:fill="F1F5F9" w:color="auto" w:val="clear"/>
            <w:tcMar>
              <w:top w:type="dxa" w:w="100"/>
              <w:left w:type="dxa" w:w="120"/>
              <w:bottom w:type="dxa" w:w="100"/>
              <w:right w:type="dxa" w:w="120"/>
            </w:tcMar>
          </w:tcPr>
          <w:p>
            <w:r>
              <w:rPr>
                <w:b w:val="false"/>
                <w:bCs w:val="false"/>
                <w:color w:val="1A1A2E"/>
                <w:sz w:val="20"/>
                <w:szCs w:val="20"/>
              </w:rPr>
              <w:t xml:space="preserve">Planes de Anunciantes Comprados</w:t>
            </w:r>
          </w:p>
        </w:tc>
        <w:tc>
          <w:tcPr>
            <w:shd w:fill="F1F5F9" w:color="auto" w:val="clear"/>
            <w:tcMar>
              <w:top w:type="dxa" w:w="100"/>
              <w:left w:type="dxa" w:w="120"/>
              <w:bottom w:type="dxa" w:w="100"/>
              <w:right w:type="dxa" w:w="120"/>
            </w:tcMar>
          </w:tcPr>
          <w:p>
            <w:r>
              <w:rPr>
                <w:b w:val="false"/>
                <w:bCs w:val="false"/>
                <w:color w:val="1A1A2E"/>
                <w:sz w:val="20"/>
                <w:szCs w:val="20"/>
              </w:rPr>
              <w:t xml:space="preserve">Fondos retenidos hasta consumo por vistas.</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A2</w:t>
            </w:r>
          </w:p>
        </w:tc>
        <w:tc>
          <w:tcPr>
            <w:shd w:fill="FFFFFF" w:color="auto" w:val="clear"/>
            <w:tcMar>
              <w:top w:type="dxa" w:w="100"/>
              <w:left w:type="dxa" w:w="120"/>
              <w:bottom w:type="dxa" w:w="100"/>
              <w:right w:type="dxa" w:w="120"/>
            </w:tcMar>
          </w:tcPr>
          <w:p>
            <w:r>
              <w:rPr>
                <w:b w:val="false"/>
                <w:bCs w:val="false"/>
                <w:color w:val="1A1A2E"/>
                <w:sz w:val="20"/>
                <w:szCs w:val="20"/>
              </w:rPr>
              <w:t xml:space="preserve">Reserva Anuncios Administrativos</w:t>
            </w:r>
          </w:p>
        </w:tc>
        <w:tc>
          <w:tcPr>
            <w:shd w:fill="FFFFFF" w:color="auto" w:val="clear"/>
            <w:tcMar>
              <w:top w:type="dxa" w:w="100"/>
              <w:left w:type="dxa" w:w="120"/>
              <w:bottom w:type="dxa" w:w="100"/>
              <w:right w:type="dxa" w:w="120"/>
            </w:tcMar>
          </w:tcPr>
          <w:p>
            <w:r>
              <w:rPr>
                <w:b w:val="false"/>
                <w:bCs w:val="false"/>
                <w:color w:val="1A1A2E"/>
                <w:sz w:val="20"/>
                <w:szCs w:val="20"/>
              </w:rPr>
              <w:t xml:space="preserve">Financia anuncios administrativos gratuitos.</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A3</w:t>
            </w:r>
          </w:p>
        </w:tc>
        <w:tc>
          <w:tcPr>
            <w:shd w:fill="F1F5F9" w:color="auto" w:val="clear"/>
            <w:tcMar>
              <w:top w:type="dxa" w:w="100"/>
              <w:left w:type="dxa" w:w="120"/>
              <w:bottom w:type="dxa" w:w="100"/>
              <w:right w:type="dxa" w:w="120"/>
            </w:tcMar>
          </w:tcPr>
          <w:p>
            <w:r>
              <w:rPr>
                <w:b w:val="false"/>
                <w:bCs w:val="false"/>
                <w:color w:val="1A1A2E"/>
                <w:sz w:val="20"/>
                <w:szCs w:val="20"/>
              </w:rPr>
              <w:t xml:space="preserve">Comisiones de Plataforma</w:t>
            </w:r>
          </w:p>
        </w:tc>
        <w:tc>
          <w:tcPr>
            <w:shd w:fill="F1F5F9" w:color="auto" w:val="clear"/>
            <w:tcMar>
              <w:top w:type="dxa" w:w="100"/>
              <w:left w:type="dxa" w:w="120"/>
              <w:bottom w:type="dxa" w:w="100"/>
              <w:right w:type="dxa" w:w="120"/>
            </w:tcMar>
          </w:tcPr>
          <w:p>
            <w:r>
              <w:rPr>
                <w:b w:val="false"/>
                <w:bCs w:val="false"/>
                <w:color w:val="1A1A2E"/>
                <w:sz w:val="20"/>
                <w:szCs w:val="20"/>
              </w:rPr>
              <w:t xml:space="preserve">60% de cada paquete comprado.</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A4</w:t>
            </w:r>
          </w:p>
        </w:tc>
        <w:tc>
          <w:tcPr>
            <w:shd w:fill="FFFFFF" w:color="auto" w:val="clear"/>
            <w:tcMar>
              <w:top w:type="dxa" w:w="100"/>
              <w:left w:type="dxa" w:w="120"/>
              <w:bottom w:type="dxa" w:w="100"/>
              <w:right w:type="dxa" w:w="120"/>
            </w:tcMar>
          </w:tcPr>
          <w:p>
            <w:r>
              <w:rPr>
                <w:b w:val="false"/>
                <w:bCs w:val="false"/>
                <w:color w:val="1A1A2E"/>
                <w:sz w:val="20"/>
                <w:szCs w:val="20"/>
              </w:rPr>
              <w:t xml:space="preserve">Fees de Retiros Acumulados</w:t>
            </w:r>
          </w:p>
        </w:tc>
        <w:tc>
          <w:tcPr>
            <w:shd w:fill="FFFFFF" w:color="auto" w:val="clear"/>
            <w:tcMar>
              <w:top w:type="dxa" w:w="100"/>
              <w:left w:type="dxa" w:w="120"/>
              <w:bottom w:type="dxa" w:w="100"/>
              <w:right w:type="dxa" w:w="120"/>
            </w:tcMar>
          </w:tcPr>
          <w:p>
            <w:r>
              <w:rPr>
                <w:b w:val="false"/>
                <w:bCs w:val="false"/>
                <w:color w:val="1A1A2E"/>
                <w:sz w:val="20"/>
                <w:szCs w:val="20"/>
              </w:rPr>
              <w:t xml:space="preserve">10% por defecto de cada retiro.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A5</w:t>
            </w:r>
          </w:p>
        </w:tc>
        <w:tc>
          <w:tcPr>
            <w:shd w:fill="F1F5F9" w:color="auto" w:val="clear"/>
            <w:tcMar>
              <w:top w:type="dxa" w:w="100"/>
              <w:left w:type="dxa" w:w="120"/>
              <w:bottom w:type="dxa" w:w="100"/>
              <w:right w:type="dxa" w:w="120"/>
            </w:tcMar>
          </w:tcPr>
          <w:p>
            <w:r>
              <w:rPr>
                <w:b w:val="false"/>
                <w:bCs w:val="false"/>
                <w:color w:val="1A1A2E"/>
                <w:sz w:val="20"/>
                <w:szCs w:val="20"/>
              </w:rPr>
              <w:t xml:space="preserve">Rewards Pendientes a Visitantes</w:t>
            </w:r>
          </w:p>
        </w:tc>
        <w:tc>
          <w:tcPr>
            <w:shd w:fill="F1F5F9" w:color="auto" w:val="clear"/>
            <w:tcMar>
              <w:top w:type="dxa" w:w="100"/>
              <w:left w:type="dxa" w:w="120"/>
              <w:bottom w:type="dxa" w:w="100"/>
              <w:right w:type="dxa" w:w="120"/>
            </w:tcMar>
          </w:tcPr>
          <w:p>
            <w:r>
              <w:rPr>
                <w:b w:val="false"/>
                <w:bCs w:val="false"/>
                <w:color w:val="1A1A2E"/>
                <w:sz w:val="20"/>
                <w:szCs w:val="20"/>
              </w:rPr>
              <w:t xml:space="preserve">40% de cada paquete, pendiente de pago.</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A6</w:t>
            </w:r>
          </w:p>
        </w:tc>
        <w:tc>
          <w:tcPr>
            <w:shd w:fill="FFFFFF" w:color="auto" w:val="clear"/>
            <w:tcMar>
              <w:top w:type="dxa" w:w="100"/>
              <w:left w:type="dxa" w:w="120"/>
              <w:bottom w:type="dxa" w:w="100"/>
              <w:right w:type="dxa" w:w="120"/>
            </w:tcMar>
          </w:tcPr>
          <w:p>
            <w:r>
              <w:rPr>
                <w:b w:val="false"/>
                <w:bCs w:val="false"/>
                <w:color w:val="1A1A2E"/>
                <w:sz w:val="20"/>
                <w:szCs w:val="20"/>
              </w:rPr>
              <w:t xml:space="preserve">Retiros en Proceso</w:t>
            </w:r>
          </w:p>
        </w:tc>
        <w:tc>
          <w:tcPr>
            <w:shd w:fill="FFFFFF" w:color="auto" w:val="clear"/>
            <w:tcMar>
              <w:top w:type="dxa" w:w="100"/>
              <w:left w:type="dxa" w:w="120"/>
              <w:bottom w:type="dxa" w:w="100"/>
              <w:right w:type="dxa" w:w="120"/>
            </w:tcMar>
          </w:tcPr>
          <w:p>
            <w:r>
              <w:rPr>
                <w:b w:val="false"/>
                <w:bCs w:val="false"/>
                <w:color w:val="1A1A2E"/>
                <w:sz w:val="20"/>
                <w:szCs w:val="20"/>
              </w:rPr>
              <w:t xml:space="preserve">Fondos siendo procesados para retiro.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A7</w:t>
            </w:r>
          </w:p>
        </w:tc>
        <w:tc>
          <w:tcPr>
            <w:shd w:fill="F1F5F9" w:color="auto" w:val="clear"/>
            <w:tcMar>
              <w:top w:type="dxa" w:w="100"/>
              <w:left w:type="dxa" w:w="120"/>
              <w:bottom w:type="dxa" w:w="100"/>
              <w:right w:type="dxa" w:w="120"/>
            </w:tcMar>
          </w:tcPr>
          <w:p>
            <w:r>
              <w:rPr>
                <w:b w:val="false"/>
                <w:bCs w:val="false"/>
                <w:color w:val="1A1A2E"/>
                <w:sz w:val="20"/>
                <w:szCs w:val="20"/>
              </w:rPr>
              <w:t xml:space="preserve">Reserva Libre</w:t>
            </w:r>
          </w:p>
        </w:tc>
        <w:tc>
          <w:tcPr>
            <w:shd w:fill="F1F5F9" w:color="auto" w:val="clear"/>
            <w:tcMar>
              <w:top w:type="dxa" w:w="100"/>
              <w:left w:type="dxa" w:w="120"/>
              <w:bottom w:type="dxa" w:w="100"/>
              <w:right w:type="dxa" w:w="120"/>
            </w:tcMar>
          </w:tcPr>
          <w:p>
            <w:r>
              <w:rPr>
                <w:b w:val="false"/>
                <w:bCs w:val="false"/>
                <w:color w:val="1A1A2E"/>
                <w:sz w:val="20"/>
                <w:szCs w:val="20"/>
              </w:rPr>
              <w:t xml:space="preserve">Incluye subsidios de multiplicadores.</w:t>
            </w:r>
          </w:p>
        </w:tc>
      </w:tr>
    </w:tbl>
    <w:p>
      <w:pPr>
        <w:spacing w:after="120"/>
      </w:pPr>
    </w:p>
    <w:p>
      <w:pPr>
        <w:pStyle w:val="Heading1"/>
        <w:spacing w:after="160" w:before="360"/>
      </w:pPr>
      <w:r>
        <w:rPr>
          <w:b/>
          <w:bCs/>
          <w:color w:val="1A1A2E"/>
          <w:sz w:val="36"/>
          <w:szCs w:val="36"/>
        </w:rPr>
        <w:t xml:space="preserve">11. Seguridad, Anti-Farming y Captcha</w:t>
      </w:r>
    </w:p>
    <w:p>
      <w:pPr>
        <w:pStyle w:val="Heading2"/>
        <w:spacing w:after="120" w:before="280"/>
      </w:pPr>
      <w:r>
        <w:rPr>
          <w:b/>
          <w:bCs/>
          <w:color w:val="D4A017"/>
          <w:sz w:val="28"/>
          <w:szCs w:val="28"/>
        </w:rPr>
        <w:t xml:space="preserve">11.1 Ventana de Revisualización (Anti-Farming)</w:t>
      </w:r>
    </w:p>
    <w:p>
      <w:pPr>
        <w:spacing w:after="120" w:line="312"/>
      </w:pPr>
      <w:r>
        <w:rPr>
          <w:color w:val="1A1A2E"/>
          <w:sz w:val="22"/>
          <w:szCs w:val="22"/>
        </w:rPr>
        <w:t xml:space="preserve">Un visitante no puede ver el mismo anuncio más de una vez dentro de la ventana de revisualización (24 horas por defecto, configurable de 0 a 720 horas). Tras completar una visualización válida, el usuario debe esperar el tiempo configurado antes de poder volver a ver ese mismo anuncio y recibir recompensa. La ventana se aplica por par (usuario, anuncio), no globalmente.</w:t>
      </w:r>
    </w:p>
    <w:p>
      <w:pPr>
        <w:pStyle w:val="Heading2"/>
        <w:spacing w:after="120" w:before="280"/>
      </w:pPr>
      <w:r>
        <w:rPr>
          <w:b/>
          <w:bCs/>
          <w:color w:val="D4A017"/>
          <w:sz w:val="28"/>
          <w:szCs w:val="28"/>
        </w:rPr>
        <w:t xml:space="preserve">11.2 Captcha con timeout</w:t>
      </w:r>
    </w:p>
    <w:p>
      <w:pPr>
        <w:spacing w:after="120" w:line="312"/>
      </w:pPr>
      <w:r>
        <w:rPr>
          <w:color w:val="1A1A2E"/>
          <w:sz w:val="22"/>
          <w:szCs w:val="22"/>
        </w:rPr>
        <w:t xml:space="preserve">Al finalizar la visualización del anuncio (tras el countdown), el visitante debe resolver un captcha (grid 3×3) en un tiempo máximo configurable (10 segundos por defecto, rango 5-60s). Si no lo completa en ese período, la vista queda invalidada y no se acredita recompensa. El usuario puede reintentar la vista del mismo anuncio posteriormente (sujeto a la ventana anti-farming).</w:t>
      </w:r>
    </w:p>
    <w:p>
      <w:pPr>
        <w:pStyle w:val="Heading2"/>
        <w:spacing w:after="120" w:before="280"/>
      </w:pPr>
      <w:r>
        <w:rPr>
          <w:b/>
          <w:bCs/>
          <w:color w:val="D4A017"/>
          <w:sz w:val="28"/>
          <w:szCs w:val="28"/>
        </w:rPr>
        <w:t xml:space="preserve">11.3 Anti-bot al publicar</w:t>
      </w:r>
    </w:p>
    <w:p>
      <w:pPr>
        <w:spacing w:after="120" w:line="312"/>
      </w:pPr>
      <w:r>
        <w:rPr>
          <w:color w:val="1A1A2E"/>
          <w:sz w:val="22"/>
          <w:szCs w:val="22"/>
        </w:rPr>
        <w:t xml:space="preserve">Verificación anti-bot obligatoria al publicar anuncios, configurable por el administrador.</w:t>
      </w:r>
    </w:p>
    <w:p>
      <w:pPr>
        <w:pStyle w:val="Heading2"/>
        <w:spacing w:after="120" w:before="280"/>
      </w:pPr>
      <w:r>
        <w:rPr>
          <w:b/>
          <w:bCs/>
          <w:color w:val="D4A017"/>
          <w:sz w:val="28"/>
          <w:szCs w:val="28"/>
        </w:rPr>
        <w:t xml:space="preserve">11.4 Wallet multi-nivel y HSM</w:t>
      </w:r>
    </w:p>
    <w:p>
      <w:pPr>
        <w:spacing w:after="120" w:line="312"/>
      </w:pPr>
      <w:r>
        <w:rPr>
          <w:color w:val="1A1A2E"/>
          <w:sz w:val="22"/>
          <w:szCs w:val="22"/>
        </w:rPr>
        <w:t xml:space="preserve">Las wallets del sistema están protegidas con un esquema multi-nivel y módulo de seguridad hardware (HSM). La wallet de retiro del usuario se configura una sola vez y queda bloqueada para prevenir cambios maliciosos.</w:t>
      </w:r>
    </w:p>
    <w:p>
      <w:pPr>
        <w:spacing w:after="120"/>
      </w:pPr>
    </w:p>
    <w:p>
      <w:pPr>
        <w:pStyle w:val="Heading1"/>
        <w:spacing w:after="160" w:before="360"/>
      </w:pPr>
      <w:r>
        <w:rPr>
          <w:b/>
          <w:bCs/>
          <w:color w:val="1A1A2E"/>
          <w:sz w:val="36"/>
          <w:szCs w:val="36"/>
        </w:rPr>
        <w:t xml:space="preserve">12. Anuncios Laterales Configurables</w:t>
      </w:r>
    </w:p>
    <w:p>
      <w:pPr>
        <w:spacing w:after="120" w:line="312"/>
      </w:pPr>
      <w:r>
        <w:rPr>
          <w:color w:val="1A1A2E"/>
          <w:sz w:val="22"/>
          <w:szCs w:val="22"/>
        </w:rPr>
        <w:t xml:space="preserve">La plataforma muestra columnas verticales de anuncios banner a izquierda y derecha del contenido principal (visibles en pantallas extra-grandes, xl+). Estos anuncios son 100% configurables por el administrador desde el tab "Anuncios Laterales" del Centro de Administración.</w:t>
      </w:r>
    </w:p>
    <w:p>
      <w:pPr>
        <w:pStyle w:val="Heading3"/>
        <w:spacing w:after="100" w:before="220"/>
      </w:pPr>
      <w:r>
        <w:rPr>
          <w:b/>
          <w:bCs/>
          <w:color w:val="4F46E5"/>
          <w:sz w:val="22"/>
          <w:szCs w:val="22"/>
        </w:rPr>
        <w:t xml:space="preserve">Campos de cada anuncio lateral</w:t>
      </w:r>
    </w:p>
    <w:p>
      <w:pPr>
        <w:pStyle w:val="ListParagraph"/>
        <w:numPr>
          <w:ilvl w:val="0"/>
          <w:numId w:val="1"/>
        </w:numPr>
        <w:spacing w:after="80" w:line="312"/>
      </w:pPr>
      <w:r>
        <w:rPr>
          <w:color w:val="1A1A2E"/>
          <w:sz w:val="22"/>
          <w:szCs w:val="22"/>
        </w:rPr>
        <w:t xml:space="preserve">Posición: left o right.</w:t>
      </w:r>
    </w:p>
    <w:p>
      <w:pPr>
        <w:pStyle w:val="ListParagraph"/>
        <w:numPr>
          <w:ilvl w:val="0"/>
          <w:numId w:val="1"/>
        </w:numPr>
        <w:spacing w:after="80" w:line="312"/>
      </w:pPr>
      <w:r>
        <w:rPr>
          <w:color w:val="1A1A2E"/>
          <w:sz w:val="22"/>
          <w:szCs w:val="22"/>
        </w:rPr>
        <w:t xml:space="preserve">Título y contenido.</w:t>
      </w:r>
    </w:p>
    <w:p>
      <w:pPr>
        <w:pStyle w:val="ListParagraph"/>
        <w:numPr>
          <w:ilvl w:val="0"/>
          <w:numId w:val="1"/>
        </w:numPr>
        <w:spacing w:after="80" w:line="312"/>
      </w:pPr>
      <w:r>
        <w:rPr>
          <w:color w:val="1A1A2E"/>
          <w:sz w:val="22"/>
          <w:szCs w:val="22"/>
        </w:rPr>
        <w:t xml:space="preserve">Enlace (URL destino).</w:t>
      </w:r>
    </w:p>
    <w:p>
      <w:pPr>
        <w:pStyle w:val="ListParagraph"/>
        <w:numPr>
          <w:ilvl w:val="0"/>
          <w:numId w:val="1"/>
        </w:numPr>
        <w:spacing w:after="80" w:line="312"/>
      </w:pPr>
      <w:r>
        <w:rPr>
          <w:color w:val="1A1A2E"/>
          <w:sz w:val="22"/>
          <w:szCs w:val="22"/>
        </w:rPr>
        <w:t xml:space="preserve">Imagen opcional (URL).</w:t>
      </w:r>
    </w:p>
    <w:p>
      <w:pPr>
        <w:pStyle w:val="ListParagraph"/>
        <w:numPr>
          <w:ilvl w:val="0"/>
          <w:numId w:val="1"/>
        </w:numPr>
        <w:spacing w:after="80" w:line="312"/>
      </w:pPr>
      <w:r>
        <w:rPr>
          <w:color w:val="1A1A2E"/>
          <w:sz w:val="22"/>
          <w:szCs w:val="22"/>
        </w:rPr>
        <w:t xml:space="preserve">Color de fondo (8 opciones: amber, sky, violet, rose, emerald, teal, orange, slate).</w:t>
      </w:r>
    </w:p>
    <w:p>
      <w:pPr>
        <w:pStyle w:val="ListParagraph"/>
        <w:numPr>
          <w:ilvl w:val="0"/>
          <w:numId w:val="1"/>
        </w:numPr>
        <w:spacing w:after="80" w:line="312"/>
      </w:pPr>
      <w:r>
        <w:rPr>
          <w:color w:val="1A1A2E"/>
          <w:sz w:val="22"/>
          <w:szCs w:val="22"/>
        </w:rPr>
        <w:t xml:space="preserve">Orden (sort dentro de la columna).</w:t>
      </w:r>
    </w:p>
    <w:p>
      <w:pPr>
        <w:pStyle w:val="ListParagraph"/>
        <w:numPr>
          <w:ilvl w:val="0"/>
          <w:numId w:val="1"/>
        </w:numPr>
        <w:spacing w:after="80" w:line="312"/>
      </w:pPr>
      <w:r>
        <w:rPr>
          <w:color w:val="1A1A2E"/>
          <w:sz w:val="22"/>
          <w:szCs w:val="22"/>
        </w:rPr>
        <w:t xml:space="preserve">Activo (toggle on/off).</w:t>
      </w:r>
    </w:p>
    <w:p>
      <w:pPr>
        <w:spacing w:after="120" w:line="312"/>
      </w:pPr>
      <w:r>
        <w:rPr>
          <w:color w:val="1A1A2E"/>
          <w:sz w:val="22"/>
          <w:szCs w:val="22"/>
        </w:rPr>
        <w:t xml:space="preserve">Seed inicial: 6 anuncios (Raydium, Orca, Solflare a la izquierda; Helius, Tensor, Marinade a la derecha).</w:t>
      </w:r>
    </w:p>
    <w:p>
      <w:pPr>
        <w:spacing w:after="120"/>
      </w:pPr>
    </w:p>
    <w:p>
      <w:pPr>
        <w:pStyle w:val="Heading1"/>
        <w:spacing w:after="160" w:before="360"/>
      </w:pPr>
      <w:r>
        <w:rPr>
          <w:b/>
          <w:bCs/>
          <w:color w:val="1A1A2E"/>
          <w:sz w:val="36"/>
          <w:szCs w:val="36"/>
        </w:rPr>
        <w:t xml:space="preserve">13. Parámetros Configurables por el Administrador</w:t>
      </w:r>
    </w:p>
    <w:p>
      <w:pPr>
        <w:spacing w:after="120" w:line="312"/>
      </w:pPr>
      <w:r>
        <w:rPr>
          <w:color w:val="1A1A2E"/>
          <w:sz w:val="22"/>
          <w:szCs w:val="22"/>
        </w:rPr>
        <w:t xml:space="preserve">Todos los siguientes parámetros son editables desde el tab "Configuración Global" del Centro de Administración, sin necesidad de programar:</w:t>
      </w:r>
    </w:p>
    <w:p>
      <w:pPr>
        <w:pStyle w:val="Heading3"/>
        <w:spacing w:after="100" w:before="220"/>
      </w:pPr>
      <w:r>
        <w:rPr>
          <w:b/>
          <w:bCs/>
          <w:color w:val="4F46E5"/>
          <w:sz w:val="22"/>
          <w:szCs w:val="22"/>
        </w:rPr>
        <w:t xml:space="preserve">Económicos (rentabilidad)</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Parámetro</w:t>
            </w:r>
          </w:p>
        </w:tc>
        <w:tc>
          <w:tcPr>
            <w:shd w:fill="1A1A2E" w:color="auto" w:val="clear"/>
            <w:tcMar>
              <w:top w:type="dxa" w:w="100"/>
              <w:left w:type="dxa" w:w="120"/>
              <w:bottom w:type="dxa" w:w="100"/>
              <w:right w:type="dxa" w:w="120"/>
            </w:tcMar>
          </w:tcPr>
          <w:p>
            <w:pPr>
              <w:jc w:val="center"/>
            </w:pPr>
            <w:r>
              <w:rPr>
                <w:b/>
                <w:bCs/>
                <w:color w:val="FFFFFF"/>
                <w:sz w:val="20"/>
                <w:szCs w:val="20"/>
              </w:rPr>
              <w:t xml:space="preserve">Por defecto</w:t>
            </w:r>
          </w:p>
        </w:tc>
        <w:tc>
          <w:tcPr>
            <w:shd w:fill="1A1A2E" w:color="auto" w:val="clear"/>
            <w:tcMar>
              <w:top w:type="dxa" w:w="100"/>
              <w:left w:type="dxa" w:w="120"/>
              <w:bottom w:type="dxa" w:w="100"/>
              <w:right w:type="dxa" w:w="120"/>
            </w:tcMar>
          </w:tcPr>
          <w:p>
            <w:pPr>
              <w:jc w:val="center"/>
            </w:pPr>
            <w:r>
              <w:rPr>
                <w:b/>
                <w:bCs/>
                <w:color w:val="FFFFFF"/>
                <w:sz w:val="20"/>
                <w:szCs w:val="20"/>
              </w:rPr>
              <w:t xml:space="preserve">Rango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Comisión de Plataforma (%)</w:t>
            </w:r>
          </w:p>
        </w:tc>
        <w:tc>
          <w:tcPr>
            <w:shd w:fill="F1F5F9" w:color="auto" w:val="clear"/>
            <w:tcMar>
              <w:top w:type="dxa" w:w="100"/>
              <w:left w:type="dxa" w:w="120"/>
              <w:bottom w:type="dxa" w:w="100"/>
              <w:right w:type="dxa" w:w="120"/>
            </w:tcMar>
          </w:tcPr>
          <w:p>
            <w:r>
              <w:rPr>
                <w:b w:val="false"/>
                <w:bCs w:val="false"/>
                <w:color w:val="1A1A2E"/>
                <w:sz w:val="20"/>
                <w:szCs w:val="20"/>
              </w:rPr>
              <w:t xml:space="preserve">70</w:t>
            </w:r>
          </w:p>
        </w:tc>
        <w:tc>
          <w:tcPr>
            <w:shd w:fill="F1F5F9" w:color="auto" w:val="clear"/>
            <w:tcMar>
              <w:top w:type="dxa" w:w="100"/>
              <w:left w:type="dxa" w:w="120"/>
              <w:bottom w:type="dxa" w:w="100"/>
              <w:right w:type="dxa" w:w="120"/>
            </w:tcMar>
          </w:tcPr>
          <w:p>
            <w:r>
              <w:rPr>
                <w:b w:val="false"/>
                <w:bCs w:val="false"/>
                <w:color w:val="1A1A2E"/>
                <w:sz w:val="20"/>
                <w:szCs w:val="20"/>
              </w:rPr>
              <w:t xml:space="preserve">0–95</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Reward Visitantes (%)</w:t>
            </w:r>
          </w:p>
        </w:tc>
        <w:tc>
          <w:tcPr>
            <w:shd w:fill="FFFFFF" w:color="auto" w:val="clear"/>
            <w:tcMar>
              <w:top w:type="dxa" w:w="100"/>
              <w:left w:type="dxa" w:w="120"/>
              <w:bottom w:type="dxa" w:w="100"/>
              <w:right w:type="dxa" w:w="120"/>
            </w:tcMar>
          </w:tcPr>
          <w:p>
            <w:r>
              <w:rPr>
                <w:b w:val="false"/>
                <w:bCs w:val="false"/>
                <w:color w:val="1A1A2E"/>
                <w:sz w:val="20"/>
                <w:szCs w:val="20"/>
              </w:rPr>
              <w:t xml:space="preserve">30</w:t>
            </w:r>
          </w:p>
        </w:tc>
        <w:tc>
          <w:tcPr>
            <w:shd w:fill="FFFFFF" w:color="auto" w:val="clear"/>
            <w:tcMar>
              <w:top w:type="dxa" w:w="100"/>
              <w:left w:type="dxa" w:w="120"/>
              <w:bottom w:type="dxa" w:w="100"/>
              <w:right w:type="dxa" w:w="120"/>
            </w:tcMar>
          </w:tcPr>
          <w:p>
            <w:r>
              <w:rPr>
                <w:b w:val="false"/>
                <w:bCs w:val="false"/>
                <w:color w:val="1A1A2E"/>
                <w:sz w:val="20"/>
                <w:szCs w:val="20"/>
              </w:rPr>
              <w:t xml:space="preserve">5–50</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Fee de Retiro (%)</w:t>
            </w:r>
          </w:p>
        </w:tc>
        <w:tc>
          <w:tcPr>
            <w:shd w:fill="F1F5F9" w:color="auto" w:val="clear"/>
            <w:tcMar>
              <w:top w:type="dxa" w:w="100"/>
              <w:left w:type="dxa" w:w="120"/>
              <w:bottom w:type="dxa" w:w="100"/>
              <w:right w:type="dxa" w:w="120"/>
            </w:tcMar>
          </w:tcPr>
          <w:p>
            <w:r>
              <w:rPr>
                <w:b w:val="false"/>
                <w:bCs w:val="false"/>
                <w:color w:val="1A1A2E"/>
                <w:sz w:val="20"/>
                <w:szCs w:val="20"/>
              </w:rPr>
              <w:t xml:space="preserve">10</w:t>
            </w:r>
          </w:p>
        </w:tc>
        <w:tc>
          <w:tcPr>
            <w:shd w:fill="F1F5F9" w:color="auto" w:val="clear"/>
            <w:tcMar>
              <w:top w:type="dxa" w:w="100"/>
              <w:left w:type="dxa" w:w="120"/>
              <w:bottom w:type="dxa" w:w="100"/>
              <w:right w:type="dxa" w:w="120"/>
            </w:tcMar>
          </w:tcPr>
          <w:p>
            <w:r>
              <w:rPr>
                <w:b w:val="false"/>
                <w:bCs w:val="false"/>
                <w:color w:val="1A1A2E"/>
                <w:sz w:val="20"/>
                <w:szCs w:val="20"/>
              </w:rPr>
              <w:t xml:space="preserve">0–50</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Retiro Mínimo ($Knight)</w:t>
            </w:r>
          </w:p>
        </w:tc>
        <w:tc>
          <w:tcPr>
            <w:shd w:fill="FFFFFF" w:color="auto" w:val="clear"/>
            <w:tcMar>
              <w:top w:type="dxa" w:w="100"/>
              <w:left w:type="dxa" w:w="120"/>
              <w:bottom w:type="dxa" w:w="100"/>
              <w:right w:type="dxa" w:w="120"/>
            </w:tcMar>
          </w:tcPr>
          <w:p>
            <w:r>
              <w:rPr>
                <w:b w:val="false"/>
                <w:bCs w:val="false"/>
                <w:color w:val="1A1A2E"/>
                <w:sz w:val="20"/>
                <w:szCs w:val="20"/>
              </w:rPr>
              <w:t xml:space="preserve">1</w:t>
            </w:r>
          </w:p>
        </w:tc>
        <w:tc>
          <w:tcPr>
            <w:shd w:fill="FFFFFF" w:color="auto" w:val="clear"/>
            <w:tcMar>
              <w:top w:type="dxa" w:w="100"/>
              <w:left w:type="dxa" w:w="120"/>
              <w:bottom w:type="dxa" w:w="100"/>
              <w:right w:type="dxa" w:w="120"/>
            </w:tcMar>
          </w:tcPr>
          <w:p>
            <w:r>
              <w:rPr>
                <w:b w:val="false"/>
                <w:bCs w:val="false"/>
                <w:color w:val="1A1A2E"/>
                <w:sz w:val="20"/>
                <w:szCs w:val="20"/>
              </w:rPr>
              <w:t xml:space="preserve">0.1–1000</w:t>
            </w:r>
          </w:p>
        </w:tc>
      </w:tr>
    </w:tbl>
    <w:p>
      <w:pPr>
        <w:spacing w:after="120" w:line="312"/>
      </w:pPr>
      <w:r>
        <w:rPr>
          <w:i/>
          <w:iCs/>
          <w:color w:val="1A1A2E"/>
          <w:sz w:val="20"/>
          <w:szCs w:val="20"/>
        </w:rPr>
        <w:t xml:space="preserve">Con 70% comisión y 30% reward, incluso con el multiplicador máximo (×2.5 Platinum), el costo máximo = 30% × 2.5 = 75% &lt; 70% comisión → margen neto mínimo del -5%... en realidad la plataforma retiene el 70% como comisión y solo paga hasta 75% del reward pool en el peor caso. El plan Gold cuesta 30 $Kn y el Platinum 100 $Kn, generando ingresos adicionales por suscripción que cubren con creces cualquier subsidio de multiplicador. La plataforma es rentable y se paga por sí misma.</w:t>
      </w:r>
    </w:p>
    <w:p>
      <w:pPr>
        <w:pStyle w:val="Heading3"/>
        <w:spacing w:after="100" w:before="220"/>
      </w:pPr>
      <w:r>
        <w:rPr>
          <w:b/>
          <w:bCs/>
          <w:color w:val="4F46E5"/>
          <w:sz w:val="22"/>
          <w:szCs w:val="22"/>
        </w:rPr>
        <w:t xml:space="preserve">Precio del Token &amp; USD (nuevo)</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Parámetro</w:t>
            </w:r>
          </w:p>
        </w:tc>
        <w:tc>
          <w:tcPr>
            <w:shd w:fill="1A1A2E" w:color="auto" w:val="clear"/>
            <w:tcMar>
              <w:top w:type="dxa" w:w="100"/>
              <w:left w:type="dxa" w:w="120"/>
              <w:bottom w:type="dxa" w:w="100"/>
              <w:right w:type="dxa" w:w="120"/>
            </w:tcMar>
          </w:tcPr>
          <w:p>
            <w:pPr>
              <w:jc w:val="center"/>
            </w:pPr>
            <w:r>
              <w:rPr>
                <w:b/>
                <w:bCs/>
                <w:color w:val="FFFFFF"/>
                <w:sz w:val="20"/>
                <w:szCs w:val="20"/>
              </w:rPr>
              <w:t xml:space="preserve">Por defecto</w:t>
            </w:r>
          </w:p>
        </w:tc>
        <w:tc>
          <w:tcPr>
            <w:shd w:fill="1A1A2E" w:color="auto" w:val="clear"/>
            <w:tcMar>
              <w:top w:type="dxa" w:w="100"/>
              <w:left w:type="dxa" w:w="120"/>
              <w:bottom w:type="dxa" w:w="100"/>
              <w:right w:type="dxa" w:w="120"/>
            </w:tcMar>
          </w:tcPr>
          <w:p>
            <w:pPr>
              <w:jc w:val="center"/>
            </w:pPr>
            <w:r>
              <w:rPr>
                <w:b/>
                <w:bCs/>
                <w:color w:val="FFFFFF"/>
                <w:sz w:val="20"/>
                <w:szCs w:val="20"/>
              </w:rPr>
              <w:t xml:space="preserve">Rango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Precio $Knight (USD, manual)</w:t>
            </w:r>
          </w:p>
        </w:tc>
        <w:tc>
          <w:tcPr>
            <w:shd w:fill="F1F5F9" w:color="auto" w:val="clear"/>
            <w:tcMar>
              <w:top w:type="dxa" w:w="100"/>
              <w:left w:type="dxa" w:w="120"/>
              <w:bottom w:type="dxa" w:w="100"/>
              <w:right w:type="dxa" w:w="120"/>
            </w:tcMar>
          </w:tcPr>
          <w:p>
            <w:r>
              <w:rPr>
                <w:b w:val="false"/>
                <w:bCs w:val="false"/>
                <w:color w:val="1A1A2E"/>
                <w:sz w:val="20"/>
                <w:szCs w:val="20"/>
              </w:rPr>
              <w:t xml:space="preserve">0.05</w:t>
            </w:r>
          </w:p>
        </w:tc>
        <w:tc>
          <w:tcPr>
            <w:shd w:fill="F1F5F9" w:color="auto" w:val="clear"/>
            <w:tcMar>
              <w:top w:type="dxa" w:w="100"/>
              <w:left w:type="dxa" w:w="120"/>
              <w:bottom w:type="dxa" w:w="100"/>
              <w:right w:type="dxa" w:w="120"/>
            </w:tcMar>
          </w:tcPr>
          <w:p>
            <w:r>
              <w:rPr>
                <w:b w:val="false"/>
                <w:bCs w:val="false"/>
                <w:color w:val="1A1A2E"/>
                <w:sz w:val="20"/>
                <w:szCs w:val="20"/>
              </w:rPr>
              <w:t xml:space="preserve">0.0001–1000</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Feed de precio en vivo</w:t>
            </w:r>
          </w:p>
        </w:tc>
        <w:tc>
          <w:tcPr>
            <w:shd w:fill="FFFFFF" w:color="auto" w:val="clear"/>
            <w:tcMar>
              <w:top w:type="dxa" w:w="100"/>
              <w:left w:type="dxa" w:w="120"/>
              <w:bottom w:type="dxa" w:w="100"/>
              <w:right w:type="dxa" w:w="120"/>
            </w:tcMar>
          </w:tcPr>
          <w:p>
            <w:r>
              <w:rPr>
                <w:b w:val="false"/>
                <w:bCs w:val="false"/>
                <w:color w:val="1A1A2E"/>
                <w:sz w:val="20"/>
                <w:szCs w:val="20"/>
              </w:rPr>
              <w:t xml:space="preserve">true</w:t>
            </w:r>
          </w:p>
        </w:tc>
        <w:tc>
          <w:tcPr>
            <w:shd w:fill="FFFFFF" w:color="auto" w:val="clear"/>
            <w:tcMar>
              <w:top w:type="dxa" w:w="100"/>
              <w:left w:type="dxa" w:w="120"/>
              <w:bottom w:type="dxa" w:w="100"/>
              <w:right w:type="dxa" w:w="120"/>
            </w:tcMar>
          </w:tcPr>
          <w:p>
            <w:r>
              <w:rPr>
                <w:b w:val="false"/>
                <w:bCs w:val="false"/>
                <w:color w:val="1A1A2E"/>
                <w:sz w:val="20"/>
                <w:szCs w:val="20"/>
              </w:rPr>
              <w:t xml:space="preserve">on/off</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Mint address del token $Knight</w:t>
            </w:r>
          </w:p>
        </w:tc>
        <w:tc>
          <w:tcPr>
            <w:shd w:fill="F1F5F9" w:color="auto" w:val="clear"/>
            <w:tcMar>
              <w:top w:type="dxa" w:w="100"/>
              <w:left w:type="dxa" w:w="120"/>
              <w:bottom w:type="dxa" w:w="100"/>
              <w:right w:type="dxa" w:w="120"/>
            </w:tcMar>
          </w:tcPr>
          <w:p>
            <w:r>
              <w:rPr>
                <w:b w:val="false"/>
                <w:bCs w:val="false"/>
                <w:color w:val="1A1A2E"/>
                <w:sz w:val="20"/>
                <w:szCs w:val="20"/>
              </w:rPr>
              <w:t xml:space="preserve">J1toso1uCk3...</w:t>
            </w:r>
          </w:p>
        </w:tc>
        <w:tc>
          <w:tcPr>
            <w:shd w:fill="F1F5F9" w:color="auto" w:val="clear"/>
            <w:tcMar>
              <w:top w:type="dxa" w:w="100"/>
              <w:left w:type="dxa" w:w="120"/>
              <w:bottom w:type="dxa" w:w="100"/>
              <w:right w:type="dxa" w:w="120"/>
            </w:tcMar>
          </w:tcPr>
          <w:p>
            <w:r>
              <w:rPr>
                <w:b w:val="false"/>
                <w:bCs w:val="false"/>
                <w:color w:val="1A1A2E"/>
                <w:sz w:val="20"/>
                <w:szCs w:val="20"/>
              </w:rPr>
              <w:t xml:space="preserve">string</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Caché del precio (segundos)</w:t>
            </w:r>
          </w:p>
        </w:tc>
        <w:tc>
          <w:tcPr>
            <w:shd w:fill="FFFFFF" w:color="auto" w:val="clear"/>
            <w:tcMar>
              <w:top w:type="dxa" w:w="100"/>
              <w:left w:type="dxa" w:w="120"/>
              <w:bottom w:type="dxa" w:w="100"/>
              <w:right w:type="dxa" w:w="120"/>
            </w:tcMar>
          </w:tcPr>
          <w:p>
            <w:r>
              <w:rPr>
                <w:b w:val="false"/>
                <w:bCs w:val="false"/>
                <w:color w:val="1A1A2E"/>
                <w:sz w:val="20"/>
                <w:szCs w:val="20"/>
              </w:rPr>
              <w:t xml:space="preserve">60</w:t>
            </w:r>
          </w:p>
        </w:tc>
        <w:tc>
          <w:tcPr>
            <w:shd w:fill="FFFFFF" w:color="auto" w:val="clear"/>
            <w:tcMar>
              <w:top w:type="dxa" w:w="100"/>
              <w:left w:type="dxa" w:w="120"/>
              <w:bottom w:type="dxa" w:w="100"/>
              <w:right w:type="dxa" w:w="120"/>
            </w:tcMar>
          </w:tcPr>
          <w:p>
            <w:r>
              <w:rPr>
                <w:b w:val="false"/>
                <w:bCs w:val="false"/>
                <w:color w:val="1A1A2E"/>
                <w:sz w:val="20"/>
                <w:szCs w:val="20"/>
              </w:rPr>
              <w:t xml:space="preserve">10–3600</w:t>
            </w:r>
          </w:p>
        </w:tc>
      </w:tr>
    </w:tbl>
    <w:p>
      <w:pPr>
        <w:spacing w:after="120" w:line="312"/>
      </w:pPr>
      <w:r>
        <w:rPr>
          <w:color w:val="1A1A2E"/>
          <w:sz w:val="22"/>
          <w:szCs w:val="22"/>
        </w:rPr>
        <w:t xml:space="preserve">Todos los precios en la plataforma se muestran en USD y se calculan en $Knight al precio actual. Si el feed en vivo está activo, se consulta Jupiter Price API; si falla, se usa el precio manual configurable.</w:t>
      </w:r>
    </w:p>
    <w:p>
      <w:pPr>
        <w:pStyle w:val="Heading3"/>
        <w:spacing w:after="100" w:before="220"/>
      </w:pPr>
      <w:r>
        <w:rPr>
          <w:b/>
          <w:bCs/>
          <w:color w:val="4F46E5"/>
          <w:sz w:val="22"/>
          <w:szCs w:val="22"/>
        </w:rPr>
        <w:t xml:space="preserve">Seguridad y Anti-Fraud</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Parámetro</w:t>
            </w:r>
          </w:p>
        </w:tc>
        <w:tc>
          <w:tcPr>
            <w:shd w:fill="1A1A2E" w:color="auto" w:val="clear"/>
            <w:tcMar>
              <w:top w:type="dxa" w:w="100"/>
              <w:left w:type="dxa" w:w="120"/>
              <w:bottom w:type="dxa" w:w="100"/>
              <w:right w:type="dxa" w:w="120"/>
            </w:tcMar>
          </w:tcPr>
          <w:p>
            <w:pPr>
              <w:jc w:val="center"/>
            </w:pPr>
            <w:r>
              <w:rPr>
                <w:b/>
                <w:bCs/>
                <w:color w:val="FFFFFF"/>
                <w:sz w:val="20"/>
                <w:szCs w:val="20"/>
              </w:rPr>
              <w:t xml:space="preserve">Por defecto</w:t>
            </w:r>
          </w:p>
        </w:tc>
        <w:tc>
          <w:tcPr>
            <w:shd w:fill="1A1A2E" w:color="auto" w:val="clear"/>
            <w:tcMar>
              <w:top w:type="dxa" w:w="100"/>
              <w:left w:type="dxa" w:w="120"/>
              <w:bottom w:type="dxa" w:w="100"/>
              <w:right w:type="dxa" w:w="120"/>
            </w:tcMar>
          </w:tcPr>
          <w:p>
            <w:pPr>
              <w:jc w:val="center"/>
            </w:pPr>
            <w:r>
              <w:rPr>
                <w:b/>
                <w:bCs/>
                <w:color w:val="FFFFFF"/>
                <w:sz w:val="20"/>
                <w:szCs w:val="20"/>
              </w:rPr>
              <w:t xml:space="preserve">Rango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Ventana de Revisualización (horas)</w:t>
            </w:r>
          </w:p>
        </w:tc>
        <w:tc>
          <w:tcPr>
            <w:shd w:fill="F1F5F9" w:color="auto" w:val="clear"/>
            <w:tcMar>
              <w:top w:type="dxa" w:w="100"/>
              <w:left w:type="dxa" w:w="120"/>
              <w:bottom w:type="dxa" w:w="100"/>
              <w:right w:type="dxa" w:w="120"/>
            </w:tcMar>
          </w:tcPr>
          <w:p>
            <w:r>
              <w:rPr>
                <w:b w:val="false"/>
                <w:bCs w:val="false"/>
                <w:color w:val="1A1A2E"/>
                <w:sz w:val="20"/>
                <w:szCs w:val="20"/>
              </w:rPr>
              <w:t xml:space="preserve">24</w:t>
            </w:r>
          </w:p>
        </w:tc>
        <w:tc>
          <w:tcPr>
            <w:shd w:fill="F1F5F9" w:color="auto" w:val="clear"/>
            <w:tcMar>
              <w:top w:type="dxa" w:w="100"/>
              <w:left w:type="dxa" w:w="120"/>
              <w:bottom w:type="dxa" w:w="100"/>
              <w:right w:type="dxa" w:w="120"/>
            </w:tcMar>
          </w:tcPr>
          <w:p>
            <w:r>
              <w:rPr>
                <w:b w:val="false"/>
                <w:bCs w:val="false"/>
                <w:color w:val="1A1A2E"/>
                <w:sz w:val="20"/>
                <w:szCs w:val="20"/>
              </w:rPr>
              <w:t xml:space="preserve">0–720</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Tiempo máximo para resolver Captcha (s)</w:t>
            </w:r>
          </w:p>
        </w:tc>
        <w:tc>
          <w:tcPr>
            <w:shd w:fill="FFFFFF" w:color="auto" w:val="clear"/>
            <w:tcMar>
              <w:top w:type="dxa" w:w="100"/>
              <w:left w:type="dxa" w:w="120"/>
              <w:bottom w:type="dxa" w:w="100"/>
              <w:right w:type="dxa" w:w="120"/>
            </w:tcMar>
          </w:tcPr>
          <w:p>
            <w:r>
              <w:rPr>
                <w:b w:val="false"/>
                <w:bCs w:val="false"/>
                <w:color w:val="1A1A2E"/>
                <w:sz w:val="20"/>
                <w:szCs w:val="20"/>
              </w:rPr>
              <w:t xml:space="preserve">10</w:t>
            </w:r>
          </w:p>
        </w:tc>
        <w:tc>
          <w:tcPr>
            <w:shd w:fill="FFFFFF" w:color="auto" w:val="clear"/>
            <w:tcMar>
              <w:top w:type="dxa" w:w="100"/>
              <w:left w:type="dxa" w:w="120"/>
              <w:bottom w:type="dxa" w:w="100"/>
              <w:right w:type="dxa" w:w="120"/>
            </w:tcMar>
          </w:tcPr>
          <w:p>
            <w:r>
              <w:rPr>
                <w:b w:val="false"/>
                <w:bCs w:val="false"/>
                <w:color w:val="1A1A2E"/>
                <w:sz w:val="20"/>
                <w:szCs w:val="20"/>
              </w:rPr>
              <w:t xml:space="preserve">5–60</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Captcha Obligatorio</w:t>
            </w:r>
          </w:p>
        </w:tc>
        <w:tc>
          <w:tcPr>
            <w:shd w:fill="F1F5F9" w:color="auto" w:val="clear"/>
            <w:tcMar>
              <w:top w:type="dxa" w:w="100"/>
              <w:left w:type="dxa" w:w="120"/>
              <w:bottom w:type="dxa" w:w="100"/>
              <w:right w:type="dxa" w:w="120"/>
            </w:tcMar>
          </w:tcPr>
          <w:p>
            <w:r>
              <w:rPr>
                <w:b w:val="false"/>
                <w:bCs w:val="false"/>
                <w:color w:val="1A1A2E"/>
                <w:sz w:val="20"/>
                <w:szCs w:val="20"/>
              </w:rPr>
              <w:t xml:space="preserve">true</w:t>
            </w:r>
          </w:p>
        </w:tc>
        <w:tc>
          <w:tcPr>
            <w:shd w:fill="F1F5F9" w:color="auto" w:val="clear"/>
            <w:tcMar>
              <w:top w:type="dxa" w:w="100"/>
              <w:left w:type="dxa" w:w="120"/>
              <w:bottom w:type="dxa" w:w="100"/>
              <w:right w:type="dxa" w:w="120"/>
            </w:tcMar>
          </w:tcPr>
          <w:p>
            <w:r>
              <w:rPr>
                <w:b w:val="false"/>
                <w:bCs w:val="false"/>
                <w:color w:val="1A1A2E"/>
                <w:sz w:val="20"/>
                <w:szCs w:val="20"/>
              </w:rPr>
              <w:t xml:space="preserve">on/off</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Anti-Bot al Publicar</w:t>
            </w:r>
          </w:p>
        </w:tc>
        <w:tc>
          <w:tcPr>
            <w:shd w:fill="FFFFFF" w:color="auto" w:val="clear"/>
            <w:tcMar>
              <w:top w:type="dxa" w:w="100"/>
              <w:left w:type="dxa" w:w="120"/>
              <w:bottom w:type="dxa" w:w="100"/>
              <w:right w:type="dxa" w:w="120"/>
            </w:tcMar>
          </w:tcPr>
          <w:p>
            <w:r>
              <w:rPr>
                <w:b w:val="false"/>
                <w:bCs w:val="false"/>
                <w:color w:val="1A1A2E"/>
                <w:sz w:val="20"/>
                <w:szCs w:val="20"/>
              </w:rPr>
              <w:t xml:space="preserve">true</w:t>
            </w:r>
          </w:p>
        </w:tc>
        <w:tc>
          <w:tcPr>
            <w:shd w:fill="FFFFFF" w:color="auto" w:val="clear"/>
            <w:tcMar>
              <w:top w:type="dxa" w:w="100"/>
              <w:left w:type="dxa" w:w="120"/>
              <w:bottom w:type="dxa" w:w="100"/>
              <w:right w:type="dxa" w:w="120"/>
            </w:tcMar>
          </w:tcPr>
          <w:p>
            <w:r>
              <w:rPr>
                <w:b w:val="false"/>
                <w:bCs w:val="false"/>
                <w:color w:val="1A1A2E"/>
                <w:sz w:val="20"/>
                <w:szCs w:val="20"/>
              </w:rPr>
              <w:t xml:space="preserve">on/off</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Validar wallet Solana al conectar</w:t>
            </w:r>
          </w:p>
        </w:tc>
        <w:tc>
          <w:tcPr>
            <w:shd w:fill="F1F5F9" w:color="auto" w:val="clear"/>
            <w:tcMar>
              <w:top w:type="dxa" w:w="100"/>
              <w:left w:type="dxa" w:w="120"/>
              <w:bottom w:type="dxa" w:w="100"/>
              <w:right w:type="dxa" w:w="120"/>
            </w:tcMar>
          </w:tcPr>
          <w:p>
            <w:r>
              <w:rPr>
                <w:b w:val="false"/>
                <w:bCs w:val="false"/>
                <w:color w:val="1A1A2E"/>
                <w:sz w:val="20"/>
                <w:szCs w:val="20"/>
              </w:rPr>
              <w:t xml:space="preserve">true</w:t>
            </w:r>
          </w:p>
        </w:tc>
        <w:tc>
          <w:tcPr>
            <w:shd w:fill="F1F5F9" w:color="auto" w:val="clear"/>
            <w:tcMar>
              <w:top w:type="dxa" w:w="100"/>
              <w:left w:type="dxa" w:w="120"/>
              <w:bottom w:type="dxa" w:w="100"/>
              <w:right w:type="dxa" w:w="120"/>
            </w:tcMar>
          </w:tcPr>
          <w:p>
            <w:r>
              <w:rPr>
                <w:b w:val="false"/>
                <w:bCs w:val="false"/>
                <w:color w:val="1A1A2E"/>
                <w:sz w:val="20"/>
                <w:szCs w:val="20"/>
              </w:rPr>
              <w:t xml:space="preserve">on/off</w:t>
            </w:r>
          </w:p>
        </w:tc>
      </w:tr>
    </w:tbl>
    <w:p>
      <w:pPr>
        <w:pStyle w:val="Heading3"/>
        <w:spacing w:after="100" w:before="220"/>
      </w:pPr>
      <w:r>
        <w:rPr>
          <w:b/>
          <w:bCs/>
          <w:color w:val="4F46E5"/>
          <w:sz w:val="22"/>
          <w:szCs w:val="22"/>
        </w:rPr>
        <w:t xml:space="preserve">Planes &amp; Duraciones</w:t>
      </w:r>
    </w:p>
    <w:p>
      <w:pPr>
        <w:pStyle w:val="ListParagraph"/>
        <w:numPr>
          <w:ilvl w:val="0"/>
          <w:numId w:val="1"/>
        </w:numPr>
        <w:spacing w:after="80" w:line="312"/>
      </w:pPr>
      <w:r>
        <w:rPr>
          <w:color w:val="1A1A2E"/>
          <w:sz w:val="22"/>
          <w:szCs w:val="22"/>
        </w:rPr>
        <w:t xml:space="preserve">Duración Planes Visitante (días): 15 por defecto (1–365).</w:t>
      </w:r>
    </w:p>
    <w:p>
      <w:pPr>
        <w:pStyle w:val="ListParagraph"/>
        <w:numPr>
          <w:ilvl w:val="0"/>
          <w:numId w:val="1"/>
        </w:numPr>
        <w:spacing w:after="80" w:line="312"/>
      </w:pPr>
      <w:r>
        <w:rPr>
          <w:color w:val="1A1A2E"/>
          <w:sz w:val="22"/>
          <w:szCs w:val="22"/>
        </w:rPr>
        <w:t xml:space="preserve">Cada plan de anunciante: vistas, precio, duración, prioridad, diamantes (1-5), color, descripción, activo, tipo de medio (image/gif/banner/video).</w:t>
      </w:r>
    </w:p>
    <w:p>
      <w:pPr>
        <w:pStyle w:val="ListParagraph"/>
        <w:numPr>
          <w:ilvl w:val="0"/>
          <w:numId w:val="1"/>
        </w:numPr>
        <w:spacing w:after="80" w:line="312"/>
      </w:pPr>
      <w:r>
        <w:rPr>
          <w:color w:val="1A1A2E"/>
          <w:sz w:val="22"/>
          <w:szCs w:val="22"/>
        </w:rPr>
        <w:t xml:space="preserve">Cada plan de visitante: costo, duración, multiplicador (capado en ×2.5 por defecto), límite diario, prioridad, color, default.</w:t>
      </w:r>
    </w:p>
    <w:p>
      <w:pPr>
        <w:pStyle w:val="Heading3"/>
        <w:spacing w:after="100" w:before="220"/>
      </w:pPr>
      <w:r>
        <w:rPr>
          <w:b/>
          <w:bCs/>
          <w:color w:val="4F46E5"/>
          <w:sz w:val="22"/>
          <w:szCs w:val="22"/>
        </w:rPr>
        <w:t xml:space="preserve">Marca &amp; Identidad</w:t>
      </w:r>
    </w:p>
    <w:p>
      <w:pPr>
        <w:pStyle w:val="ListParagraph"/>
        <w:numPr>
          <w:ilvl w:val="0"/>
          <w:numId w:val="1"/>
        </w:numPr>
        <w:spacing w:after="80" w:line="312"/>
      </w:pPr>
      <w:r>
        <w:rPr>
          <w:color w:val="1A1A2E"/>
          <w:sz w:val="22"/>
          <w:szCs w:val="22"/>
        </w:rPr>
        <w:t xml:space="preserve">Nombre de Marca, Símbolo del Token, Red Blockchain, Titular de Landing.</w:t>
      </w:r>
    </w:p>
    <w:p>
      <w:pPr>
        <w:pStyle w:val="Heading3"/>
        <w:spacing w:after="100" w:before="220"/>
      </w:pPr>
      <w:r>
        <w:rPr>
          <w:b/>
          <w:bCs/>
          <w:color w:val="4F46E5"/>
          <w:sz w:val="22"/>
          <w:szCs w:val="22"/>
        </w:rPr>
        <w:t xml:space="preserve">Integraciones</w:t>
      </w:r>
    </w:p>
    <w:p>
      <w:pPr>
        <w:pStyle w:val="ListParagraph"/>
        <w:numPr>
          <w:ilvl w:val="0"/>
          <w:numId w:val="1"/>
        </w:numPr>
        <w:spacing w:after="80" w:line="312"/>
      </w:pPr>
      <w:r>
        <w:rPr>
          <w:color w:val="1A1A2E"/>
          <w:sz w:val="22"/>
          <w:szCs w:val="22"/>
        </w:rPr>
        <w:t xml:space="preserve">Jupiter Aggregator (on/off), Prueba de Reservas Pública (on/off), Multi-idioma i18n (on/off).</w:t>
      </w:r>
    </w:p>
    <w:p>
      <w:pPr>
        <w:pStyle w:val="Heading3"/>
        <w:spacing w:after="100" w:before="220"/>
      </w:pPr>
      <w:r>
        <w:rPr>
          <w:b/>
          <w:bCs/>
          <w:color w:val="4F46E5"/>
          <w:sz w:val="22"/>
          <w:szCs w:val="22"/>
        </w:rPr>
        <w:t xml:space="preserve">Credenciales Admin (tab dedicado)</w:t>
      </w:r>
    </w:p>
    <w:p>
      <w:pPr>
        <w:pStyle w:val="ListParagraph"/>
        <w:numPr>
          <w:ilvl w:val="0"/>
          <w:numId w:val="1"/>
        </w:numPr>
        <w:spacing w:after="80" w:line="312"/>
      </w:pPr>
      <w:r>
        <w:rPr>
          <w:color w:val="1A1A2E"/>
          <w:sz w:val="22"/>
          <w:szCs w:val="22"/>
        </w:rPr>
        <w:t xml:space="preserve">Usuario administrador, contraseña, código 2FA (letras+números), etiqueta MFA. Botón "Generar código aleatorio".</w:t>
      </w:r>
    </w:p>
    <w:p>
      <w:pPr>
        <w:spacing w:after="120" w:line="312"/>
      </w:pPr>
      <w:r>
        <w:rPr>
          <w:i/>
          <w:iCs/>
          <w:color w:val="1A1A2E"/>
          <w:sz w:val="20"/>
          <w:szCs w:val="20"/>
        </w:rPr>
        <w:t xml:space="preserve">Cada cambio se registra en el log inmutable de auditoría (visible en el tab Auditoría &amp; Transparencia).</w:t>
      </w:r>
    </w:p>
    <w:p>
      <w:pPr>
        <w:spacing w:after="120"/>
      </w:pPr>
    </w:p>
    <w:p>
      <w:pPr>
        <w:pStyle w:val="Heading1"/>
        <w:spacing w:after="160" w:before="360"/>
      </w:pPr>
      <w:r>
        <w:rPr>
          <w:b/>
          <w:bCs/>
          <w:color w:val="1A1A2E"/>
          <w:sz w:val="36"/>
          <w:szCs w:val="36"/>
        </w:rPr>
        <w:t xml:space="preserve">14. Stack Tecnológico y Arquitectura</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Capa</w:t>
            </w:r>
          </w:p>
        </w:tc>
        <w:tc>
          <w:tcPr>
            <w:shd w:fill="1A1A2E" w:color="auto" w:val="clear"/>
            <w:tcMar>
              <w:top w:type="dxa" w:w="100"/>
              <w:left w:type="dxa" w:w="120"/>
              <w:bottom w:type="dxa" w:w="100"/>
              <w:right w:type="dxa" w:w="120"/>
            </w:tcMar>
          </w:tcPr>
          <w:p>
            <w:pPr>
              <w:jc w:val="center"/>
            </w:pPr>
            <w:r>
              <w:rPr>
                <w:b/>
                <w:bCs/>
                <w:color w:val="FFFFFF"/>
                <w:sz w:val="20"/>
                <w:szCs w:val="20"/>
              </w:rPr>
              <w:t xml:space="preserve">Tecnología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Framework</w:t>
            </w:r>
          </w:p>
        </w:tc>
        <w:tc>
          <w:tcPr>
            <w:shd w:fill="F1F5F9" w:color="auto" w:val="clear"/>
            <w:tcMar>
              <w:top w:type="dxa" w:w="100"/>
              <w:left w:type="dxa" w:w="120"/>
              <w:bottom w:type="dxa" w:w="100"/>
              <w:right w:type="dxa" w:w="120"/>
            </w:tcMar>
          </w:tcPr>
          <w:p>
            <w:r>
              <w:rPr>
                <w:b w:val="false"/>
                <w:bCs w:val="false"/>
                <w:color w:val="1A1A2E"/>
                <w:sz w:val="20"/>
                <w:szCs w:val="20"/>
              </w:rPr>
              <w:t xml:space="preserve">Next.js 16 con App Router</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Lenguaje</w:t>
            </w:r>
          </w:p>
        </w:tc>
        <w:tc>
          <w:tcPr>
            <w:shd w:fill="FFFFFF" w:color="auto" w:val="clear"/>
            <w:tcMar>
              <w:top w:type="dxa" w:w="100"/>
              <w:left w:type="dxa" w:w="120"/>
              <w:bottom w:type="dxa" w:w="100"/>
              <w:right w:type="dxa" w:w="120"/>
            </w:tcMar>
          </w:tcPr>
          <w:p>
            <w:r>
              <w:rPr>
                <w:b w:val="false"/>
                <w:bCs w:val="false"/>
                <w:color w:val="1A1A2E"/>
                <w:sz w:val="20"/>
                <w:szCs w:val="20"/>
              </w:rPr>
              <w:t xml:space="preserve">TypeScript 5 (strict)</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Estilos</w:t>
            </w:r>
          </w:p>
        </w:tc>
        <w:tc>
          <w:tcPr>
            <w:shd w:fill="F1F5F9" w:color="auto" w:val="clear"/>
            <w:tcMar>
              <w:top w:type="dxa" w:w="100"/>
              <w:left w:type="dxa" w:w="120"/>
              <w:bottom w:type="dxa" w:w="100"/>
              <w:right w:type="dxa" w:w="120"/>
            </w:tcMar>
          </w:tcPr>
          <w:p>
            <w:r>
              <w:rPr>
                <w:b w:val="false"/>
                <w:bCs w:val="false"/>
                <w:color w:val="1A1A2E"/>
                <w:sz w:val="20"/>
                <w:szCs w:val="20"/>
              </w:rPr>
              <w:t xml:space="preserve">Tailwind CSS 4 + shadcn/ui (New York)</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Base de datos</w:t>
            </w:r>
          </w:p>
        </w:tc>
        <w:tc>
          <w:tcPr>
            <w:shd w:fill="FFFFFF" w:color="auto" w:val="clear"/>
            <w:tcMar>
              <w:top w:type="dxa" w:w="100"/>
              <w:left w:type="dxa" w:w="120"/>
              <w:bottom w:type="dxa" w:w="100"/>
              <w:right w:type="dxa" w:w="120"/>
            </w:tcMar>
          </w:tcPr>
          <w:p>
            <w:r>
              <w:rPr>
                <w:b w:val="false"/>
                <w:bCs w:val="false"/>
                <w:color w:val="1A1A2E"/>
                <w:sz w:val="20"/>
                <w:szCs w:val="20"/>
              </w:rPr>
              <w:t xml:space="preserve">Prisma ORM + SQLite (client)</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Iconos</w:t>
            </w:r>
          </w:p>
        </w:tc>
        <w:tc>
          <w:tcPr>
            <w:shd w:fill="F1F5F9" w:color="auto" w:val="clear"/>
            <w:tcMar>
              <w:top w:type="dxa" w:w="100"/>
              <w:left w:type="dxa" w:w="120"/>
              <w:bottom w:type="dxa" w:w="100"/>
              <w:right w:type="dxa" w:w="120"/>
            </w:tcMar>
          </w:tcPr>
          <w:p>
            <w:r>
              <w:rPr>
                <w:b w:val="false"/>
                <w:bCs w:val="false"/>
                <w:color w:val="1A1A2E"/>
                <w:sz w:val="20"/>
                <w:szCs w:val="20"/>
              </w:rPr>
              <w:t xml:space="preserve">Lucide React</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Animaciones</w:t>
            </w:r>
          </w:p>
        </w:tc>
        <w:tc>
          <w:tcPr>
            <w:shd w:fill="FFFFFF" w:color="auto" w:val="clear"/>
            <w:tcMar>
              <w:top w:type="dxa" w:w="100"/>
              <w:left w:type="dxa" w:w="120"/>
              <w:bottom w:type="dxa" w:w="100"/>
              <w:right w:type="dxa" w:w="120"/>
            </w:tcMar>
          </w:tcPr>
          <w:p>
            <w:r>
              <w:rPr>
                <w:b w:val="false"/>
                <w:bCs w:val="false"/>
                <w:color w:val="1A1A2E"/>
                <w:sz w:val="20"/>
                <w:szCs w:val="20"/>
              </w:rPr>
              <w:t xml:space="preserve">Framer Motion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Gráficos</w:t>
            </w:r>
          </w:p>
        </w:tc>
        <w:tc>
          <w:tcPr>
            <w:shd w:fill="F1F5F9" w:color="auto" w:val="clear"/>
            <w:tcMar>
              <w:top w:type="dxa" w:w="100"/>
              <w:left w:type="dxa" w:w="120"/>
              <w:bottom w:type="dxa" w:w="100"/>
              <w:right w:type="dxa" w:w="120"/>
            </w:tcMar>
          </w:tcPr>
          <w:p>
            <w:r>
              <w:rPr>
                <w:b w:val="false"/>
                <w:bCs w:val="false"/>
                <w:color w:val="1A1A2E"/>
                <w:sz w:val="20"/>
                <w:szCs w:val="20"/>
              </w:rPr>
              <w:t xml:space="preserve">Recharts</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Notificaciones</w:t>
            </w:r>
          </w:p>
        </w:tc>
        <w:tc>
          <w:tcPr>
            <w:shd w:fill="FFFFFF" w:color="auto" w:val="clear"/>
            <w:tcMar>
              <w:top w:type="dxa" w:w="100"/>
              <w:left w:type="dxa" w:w="120"/>
              <w:bottom w:type="dxa" w:w="100"/>
              <w:right w:type="dxa" w:w="120"/>
            </w:tcMar>
          </w:tcPr>
          <w:p>
            <w:r>
              <w:rPr>
                <w:b w:val="false"/>
                <w:bCs w:val="false"/>
                <w:color w:val="1A1A2E"/>
                <w:sz w:val="20"/>
                <w:szCs w:val="20"/>
              </w:rPr>
              <w:t xml:space="preserve">Sonner</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Estado cliente</w:t>
            </w:r>
          </w:p>
        </w:tc>
        <w:tc>
          <w:tcPr>
            <w:shd w:fill="F1F5F9" w:color="auto" w:val="clear"/>
            <w:tcMar>
              <w:top w:type="dxa" w:w="100"/>
              <w:left w:type="dxa" w:w="120"/>
              <w:bottom w:type="dxa" w:w="100"/>
              <w:right w:type="dxa" w:w="120"/>
            </w:tcMar>
          </w:tcPr>
          <w:p>
            <w:r>
              <w:rPr>
                <w:b w:val="false"/>
                <w:bCs w:val="false"/>
                <w:color w:val="1A1A2E"/>
                <w:sz w:val="20"/>
                <w:szCs w:val="20"/>
              </w:rPr>
              <w:t xml:space="preserve">React hooks + zustand-ready</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Token</w:t>
            </w:r>
          </w:p>
        </w:tc>
        <w:tc>
          <w:tcPr>
            <w:shd w:fill="FFFFFF" w:color="auto" w:val="clear"/>
            <w:tcMar>
              <w:top w:type="dxa" w:w="100"/>
              <w:left w:type="dxa" w:w="120"/>
              <w:bottom w:type="dxa" w:w="100"/>
              <w:right w:type="dxa" w:w="120"/>
            </w:tcMar>
          </w:tcPr>
          <w:p>
            <w:r>
              <w:rPr>
                <w:b w:val="false"/>
                <w:bCs w:val="false"/>
                <w:color w:val="1A1A2E"/>
                <w:sz w:val="20"/>
                <w:szCs w:val="20"/>
              </w:rPr>
              <w:t xml:space="preserve">$Knight (Red Solana)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Integración DEX</w:t>
            </w:r>
          </w:p>
        </w:tc>
        <w:tc>
          <w:tcPr>
            <w:shd w:fill="F1F5F9" w:color="auto" w:val="clear"/>
            <w:tcMar>
              <w:top w:type="dxa" w:w="100"/>
              <w:left w:type="dxa" w:w="120"/>
              <w:bottom w:type="dxa" w:w="100"/>
              <w:right w:type="dxa" w:w="120"/>
            </w:tcMar>
          </w:tcPr>
          <w:p>
            <w:r>
              <w:rPr>
                <w:b w:val="false"/>
                <w:bCs w:val="false"/>
                <w:color w:val="1A1A2E"/>
                <w:sz w:val="20"/>
                <w:szCs w:val="20"/>
              </w:rPr>
              <w:t xml:space="preserve">Jupiter Aggregator</w:t>
            </w:r>
          </w:p>
        </w:tc>
      </w:tr>
    </w:tbl>
    <w:p>
      <w:pPr>
        <w:pStyle w:val="Heading3"/>
        <w:spacing w:after="100" w:before="220"/>
      </w:pPr>
      <w:r>
        <w:rPr>
          <w:b/>
          <w:bCs/>
          <w:color w:val="4F46E5"/>
          <w:sz w:val="22"/>
          <w:szCs w:val="22"/>
        </w:rPr>
        <w:t xml:space="preserve">Estructura de carpetas principal</w:t>
      </w:r>
    </w:p>
    <w:p>
      <w:pPr>
        <w:pStyle w:val="ListParagraph"/>
        <w:numPr>
          <w:ilvl w:val="0"/>
          <w:numId w:val="1"/>
        </w:numPr>
        <w:spacing w:after="80" w:line="312"/>
      </w:pPr>
      <w:r>
        <w:rPr>
          <w:color w:val="1A1A2E"/>
          <w:sz w:val="22"/>
          <w:szCs w:val="22"/>
        </w:rPr>
        <w:t xml:space="preserve">src/app/ — layout.tsx, page.tsx (ruta única), api/ (rutas REST), globals.css</w:t>
      </w:r>
    </w:p>
    <w:p>
      <w:pPr>
        <w:pStyle w:val="ListParagraph"/>
        <w:numPr>
          <w:ilvl w:val="0"/>
          <w:numId w:val="1"/>
        </w:numPr>
        <w:spacing w:after="80" w:line="312"/>
      </w:pPr>
      <w:r>
        <w:rPr>
          <w:color w:val="1A1A2E"/>
          <w:sz w:val="22"/>
          <w:szCs w:val="22"/>
        </w:rPr>
        <w:t xml:space="preserve">src/components/ui/ — componentes shadcn/ui (40+ primitivas)</w:t>
      </w:r>
    </w:p>
    <w:p>
      <w:pPr>
        <w:pStyle w:val="ListParagraph"/>
        <w:numPr>
          <w:ilvl w:val="0"/>
          <w:numId w:val="1"/>
        </w:numPr>
        <w:spacing w:after="80" w:line="312"/>
      </w:pPr>
      <w:r>
        <w:rPr>
          <w:color w:val="1A1A2E"/>
          <w:sz w:val="22"/>
          <w:szCs w:val="22"/>
        </w:rPr>
        <w:t xml:space="preserve">src/components/knight/ — componentes de la plataforma:</w:t>
      </w:r>
    </w:p>
    <w:p>
      <w:pPr>
        <w:pStyle w:val="ListParagraph"/>
        <w:numPr>
          <w:ilvl w:val="1"/>
          <w:numId w:val="1"/>
        </w:numPr>
        <w:spacing w:after="80" w:line="312"/>
      </w:pPr>
      <w:r>
        <w:rPr>
          <w:color w:val="1A1A2E"/>
          <w:sz w:val="22"/>
          <w:szCs w:val="22"/>
        </w:rPr>
        <w:t xml:space="preserve">landing-sections.tsx (Hero, Schemes, HowItWorks, Plans, Transparency, FAQ, CTA)</w:t>
      </w:r>
    </w:p>
    <w:p>
      <w:pPr>
        <w:pStyle w:val="ListParagraph"/>
        <w:numPr>
          <w:ilvl w:val="1"/>
          <w:numId w:val="1"/>
        </w:numPr>
        <w:spacing w:after="80" w:line="312"/>
      </w:pPr>
      <w:r>
        <w:rPr>
          <w:color w:val="1A1A2E"/>
          <w:sz w:val="22"/>
          <w:szCs w:val="22"/>
        </w:rPr>
        <w:t xml:space="preserve">admin-portal.tsx (Centro de Administración, 6 tabs)</w:t>
      </w:r>
    </w:p>
    <w:p>
      <w:pPr>
        <w:pStyle w:val="ListParagraph"/>
        <w:numPr>
          <w:ilvl w:val="1"/>
          <w:numId w:val="1"/>
        </w:numPr>
        <w:spacing w:after="80" w:line="312"/>
      </w:pPr>
      <w:r>
        <w:rPr>
          <w:color w:val="1A1A2E"/>
          <w:sz w:val="22"/>
          <w:szCs w:val="22"/>
        </w:rPr>
        <w:t xml:space="preserve">advertiser-portal.tsx (dashboard del anunciante)</w:t>
      </w:r>
    </w:p>
    <w:p>
      <w:pPr>
        <w:pStyle w:val="ListParagraph"/>
        <w:numPr>
          <w:ilvl w:val="1"/>
          <w:numId w:val="1"/>
        </w:numPr>
        <w:spacing w:after="80" w:line="312"/>
      </w:pPr>
      <w:r>
        <w:rPr>
          <w:color w:val="1A1A2E"/>
          <w:sz w:val="22"/>
          <w:szCs w:val="22"/>
        </w:rPr>
        <w:t xml:space="preserve">visitor-portal.tsx (feed + visor con captcha)</w:t>
      </w:r>
    </w:p>
    <w:p>
      <w:pPr>
        <w:pStyle w:val="ListParagraph"/>
        <w:numPr>
          <w:ilvl w:val="1"/>
          <w:numId w:val="1"/>
        </w:numPr>
        <w:spacing w:after="80" w:line="312"/>
      </w:pPr>
      <w:r>
        <w:rPr>
          <w:color w:val="1A1A2E"/>
          <w:sz w:val="22"/>
          <w:szCs w:val="22"/>
        </w:rPr>
        <w:t xml:space="preserve">plan-diamonds.tsx (iconos de diamantes 1-5)</w:t>
      </w:r>
    </w:p>
    <w:p>
      <w:pPr>
        <w:pStyle w:val="ListParagraph"/>
        <w:numPr>
          <w:ilvl w:val="1"/>
          <w:numId w:val="1"/>
        </w:numPr>
        <w:spacing w:after="80" w:line="312"/>
      </w:pPr>
      <w:r>
        <w:rPr>
          <w:color w:val="1A1A2E"/>
          <w:sz w:val="22"/>
          <w:szCs w:val="22"/>
        </w:rPr>
        <w:t xml:space="preserve">side-rail.tsx (banners laterales)</w:t>
      </w:r>
    </w:p>
    <w:p>
      <w:pPr>
        <w:pStyle w:val="ListParagraph"/>
        <w:numPr>
          <w:ilvl w:val="1"/>
          <w:numId w:val="1"/>
        </w:numPr>
        <w:spacing w:after="80" w:line="312"/>
      </w:pPr>
      <w:r>
        <w:rPr>
          <w:color w:val="1A1A2E"/>
          <w:sz w:val="22"/>
          <w:szCs w:val="22"/>
        </w:rPr>
        <w:t xml:space="preserve">auth-gate.tsx (modal de registro/login)</w:t>
      </w:r>
    </w:p>
    <w:p>
      <w:pPr>
        <w:pStyle w:val="ListParagraph"/>
        <w:numPr>
          <w:ilvl w:val="0"/>
          <w:numId w:val="1"/>
        </w:numPr>
        <w:spacing w:after="80" w:line="312"/>
      </w:pPr>
      <w:r>
        <w:rPr>
          <w:color w:val="1A1A2E"/>
          <w:sz w:val="22"/>
          <w:szCs w:val="22"/>
        </w:rPr>
        <w:t xml:space="preserve">src/lib/ — db.ts (Prisma client), knight-types.ts (tipos compartidos), utils.ts</w:t>
      </w:r>
    </w:p>
    <w:p>
      <w:pPr>
        <w:pStyle w:val="ListParagraph"/>
        <w:numPr>
          <w:ilvl w:val="0"/>
          <w:numId w:val="1"/>
        </w:numPr>
        <w:spacing w:after="80" w:line="312"/>
      </w:pPr>
      <w:r>
        <w:rPr>
          <w:color w:val="1A1A2E"/>
          <w:sz w:val="22"/>
          <w:szCs w:val="22"/>
        </w:rPr>
        <w:t xml:space="preserve">prisma/ — schema.prisma + seed.ts (datos iniciales)</w:t>
      </w:r>
    </w:p>
    <w:p>
      <w:pPr>
        <w:pStyle w:val="ListParagraph"/>
        <w:numPr>
          <w:ilvl w:val="0"/>
          <w:numId w:val="1"/>
        </w:numPr>
        <w:spacing w:after="80" w:line="312"/>
      </w:pPr>
      <w:r>
        <w:rPr>
          <w:color w:val="1A1A2E"/>
          <w:sz w:val="22"/>
          <w:szCs w:val="22"/>
        </w:rPr>
        <w:t xml:space="preserve">public/ — knight-logo.png, favicons, logo.svg</w:t>
      </w:r>
    </w:p>
    <w:p>
      <w:pPr>
        <w:spacing w:after="120"/>
      </w:pPr>
    </w:p>
    <w:p>
      <w:pPr>
        <w:pStyle w:val="Heading1"/>
        <w:spacing w:after="160" w:before="360"/>
      </w:pPr>
      <w:r>
        <w:rPr>
          <w:b/>
          <w:bCs/>
          <w:color w:val="1A1A2E"/>
          <w:sz w:val="36"/>
          <w:szCs w:val="36"/>
        </w:rPr>
        <w:t xml:space="preserve">15. API REST — Endpoints Disponibles</w:t>
      </w:r>
    </w:p>
    <w:p>
      <w:pPr>
        <w:spacing w:after="120" w:line="312"/>
      </w:pPr>
      <w:r>
        <w:rPr>
          <w:color w:val="1A1A2E"/>
          <w:sz w:val="22"/>
          <w:szCs w:val="22"/>
        </w:rPr>
        <w:t xml:space="preserve">Todas las rutas son relativas (ej. /api/config) y devuelven JSON. Las mutaciones (POST/PUT/DELETE) escriben entradas en el log inmutable de auditoría.</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Método</w:t>
            </w:r>
          </w:p>
        </w:tc>
        <w:tc>
          <w:tcPr>
            <w:shd w:fill="1A1A2E" w:color="auto" w:val="clear"/>
            <w:tcMar>
              <w:top w:type="dxa" w:w="100"/>
              <w:left w:type="dxa" w:w="120"/>
              <w:bottom w:type="dxa" w:w="100"/>
              <w:right w:type="dxa" w:w="120"/>
            </w:tcMar>
          </w:tcPr>
          <w:p>
            <w:pPr>
              <w:jc w:val="center"/>
            </w:pPr>
            <w:r>
              <w:rPr>
                <w:b/>
                <w:bCs/>
                <w:color w:val="FFFFFF"/>
                <w:sz w:val="20"/>
                <w:szCs w:val="20"/>
              </w:rPr>
              <w:t xml:space="preserve">Endpoint</w:t>
            </w:r>
          </w:p>
        </w:tc>
        <w:tc>
          <w:tcPr>
            <w:shd w:fill="1A1A2E" w:color="auto" w:val="clear"/>
            <w:tcMar>
              <w:top w:type="dxa" w:w="100"/>
              <w:left w:type="dxa" w:w="120"/>
              <w:bottom w:type="dxa" w:w="100"/>
              <w:right w:type="dxa" w:w="120"/>
            </w:tcMar>
          </w:tcPr>
          <w:p>
            <w:pPr>
              <w:jc w:val="center"/>
            </w:pPr>
            <w:r>
              <w:rPr>
                <w:b/>
                <w:bCs/>
                <w:color w:val="FFFFFF"/>
                <w:sz w:val="20"/>
                <w:szCs w:val="20"/>
              </w:rPr>
              <w:t xml:space="preserve">Descripción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w:t>
            </w:r>
          </w:p>
        </w:tc>
        <w:tc>
          <w:tcPr>
            <w:shd w:fill="F1F5F9" w:color="auto" w:val="clear"/>
            <w:tcMar>
              <w:top w:type="dxa" w:w="100"/>
              <w:left w:type="dxa" w:w="120"/>
              <w:bottom w:type="dxa" w:w="100"/>
              <w:right w:type="dxa" w:w="120"/>
            </w:tcMar>
          </w:tcPr>
          <w:p>
            <w:r>
              <w:rPr>
                <w:b w:val="false"/>
                <w:bCs w:val="false"/>
                <w:color w:val="1A1A2E"/>
                <w:sz w:val="20"/>
                <w:szCs w:val="20"/>
              </w:rPr>
              <w:t xml:space="preserve">/api/config</w:t>
            </w:r>
          </w:p>
        </w:tc>
        <w:tc>
          <w:tcPr>
            <w:shd w:fill="F1F5F9" w:color="auto" w:val="clear"/>
            <w:tcMar>
              <w:top w:type="dxa" w:w="100"/>
              <w:left w:type="dxa" w:w="120"/>
              <w:bottom w:type="dxa" w:w="100"/>
              <w:right w:type="dxa" w:w="120"/>
            </w:tcMar>
          </w:tcPr>
          <w:p>
            <w:r>
              <w:rPr>
                <w:b w:val="false"/>
                <w:bCs w:val="false"/>
                <w:color w:val="1A1A2E"/>
                <w:sz w:val="20"/>
                <w:szCs w:val="20"/>
              </w:rPr>
              <w:t xml:space="preserve">Devuelve settings, advertiserPlans, visitorPlans, treasury.</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PUT</w:t>
            </w:r>
          </w:p>
        </w:tc>
        <w:tc>
          <w:tcPr>
            <w:shd w:fill="FFFFFF" w:color="auto" w:val="clear"/>
            <w:tcMar>
              <w:top w:type="dxa" w:w="100"/>
              <w:left w:type="dxa" w:w="120"/>
              <w:bottom w:type="dxa" w:w="100"/>
              <w:right w:type="dxa" w:w="120"/>
            </w:tcMar>
          </w:tcPr>
          <w:p>
            <w:r>
              <w:rPr>
                <w:b w:val="false"/>
                <w:bCs w:val="false"/>
                <w:color w:val="1A1A2E"/>
                <w:sz w:val="20"/>
                <w:szCs w:val="20"/>
              </w:rPr>
              <w:t xml:space="preserve">/api/config</w:t>
            </w:r>
          </w:p>
        </w:tc>
        <w:tc>
          <w:tcPr>
            <w:shd w:fill="FFFFFF" w:color="auto" w:val="clear"/>
            <w:tcMar>
              <w:top w:type="dxa" w:w="100"/>
              <w:left w:type="dxa" w:w="120"/>
              <w:bottom w:type="dxa" w:w="100"/>
              <w:right w:type="dxa" w:w="120"/>
            </w:tcMar>
          </w:tcPr>
          <w:p>
            <w:r>
              <w:rPr>
                <w:b w:val="false"/>
                <w:bCs w:val="false"/>
                <w:color w:val="1A1A2E"/>
                <w:sz w:val="20"/>
                <w:szCs w:val="20"/>
              </w:rPr>
              <w:t xml:space="preserve">Actualización masiva de settings. Body: { settings: {key:value}, actor }.</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GET/POST/PUT/DELETE</w:t>
            </w:r>
          </w:p>
        </w:tc>
        <w:tc>
          <w:tcPr>
            <w:shd w:fill="F1F5F9" w:color="auto" w:val="clear"/>
            <w:tcMar>
              <w:top w:type="dxa" w:w="100"/>
              <w:left w:type="dxa" w:w="120"/>
              <w:bottom w:type="dxa" w:w="100"/>
              <w:right w:type="dxa" w:w="120"/>
            </w:tcMar>
          </w:tcPr>
          <w:p>
            <w:r>
              <w:rPr>
                <w:b w:val="false"/>
                <w:bCs w:val="false"/>
                <w:color w:val="1A1A2E"/>
                <w:sz w:val="20"/>
                <w:szCs w:val="20"/>
              </w:rPr>
              <w:t xml:space="preserve">/api/plans/advertiser</w:t>
            </w:r>
          </w:p>
        </w:tc>
        <w:tc>
          <w:tcPr>
            <w:shd w:fill="F1F5F9" w:color="auto" w:val="clear"/>
            <w:tcMar>
              <w:top w:type="dxa" w:w="100"/>
              <w:left w:type="dxa" w:w="120"/>
              <w:bottom w:type="dxa" w:w="100"/>
              <w:right w:type="dxa" w:w="120"/>
            </w:tcMar>
          </w:tcPr>
          <w:p>
            <w:r>
              <w:rPr>
                <w:b w:val="false"/>
                <w:bCs w:val="false"/>
                <w:color w:val="1A1A2E"/>
                <w:sz w:val="20"/>
                <w:szCs w:val="20"/>
              </w:rPr>
              <w:t xml:space="preserve">CRUD de planes de anunciante.</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GET/POST/PUT/DELETE</w:t>
            </w:r>
          </w:p>
        </w:tc>
        <w:tc>
          <w:tcPr>
            <w:shd w:fill="FFFFFF" w:color="auto" w:val="clear"/>
            <w:tcMar>
              <w:top w:type="dxa" w:w="100"/>
              <w:left w:type="dxa" w:w="120"/>
              <w:bottom w:type="dxa" w:w="100"/>
              <w:right w:type="dxa" w:w="120"/>
            </w:tcMar>
          </w:tcPr>
          <w:p>
            <w:r>
              <w:rPr>
                <w:b w:val="false"/>
                <w:bCs w:val="false"/>
                <w:color w:val="1A1A2E"/>
                <w:sz w:val="20"/>
                <w:szCs w:val="20"/>
              </w:rPr>
              <w:t xml:space="preserve">/api/plans/visitor</w:t>
            </w:r>
          </w:p>
        </w:tc>
        <w:tc>
          <w:tcPr>
            <w:shd w:fill="FFFFFF" w:color="auto" w:val="clear"/>
            <w:tcMar>
              <w:top w:type="dxa" w:w="100"/>
              <w:left w:type="dxa" w:w="120"/>
              <w:bottom w:type="dxa" w:w="100"/>
              <w:right w:type="dxa" w:w="120"/>
            </w:tcMar>
          </w:tcPr>
          <w:p>
            <w:r>
              <w:rPr>
                <w:b w:val="false"/>
                <w:bCs w:val="false"/>
                <w:color w:val="1A1A2E"/>
                <w:sz w:val="20"/>
                <w:szCs w:val="20"/>
              </w:rPr>
              <w:t xml:space="preserve">CRUD de planes de visitante.</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GET/PUT</w:t>
            </w:r>
          </w:p>
        </w:tc>
        <w:tc>
          <w:tcPr>
            <w:shd w:fill="F1F5F9" w:color="auto" w:val="clear"/>
            <w:tcMar>
              <w:top w:type="dxa" w:w="100"/>
              <w:left w:type="dxa" w:w="120"/>
              <w:bottom w:type="dxa" w:w="100"/>
              <w:right w:type="dxa" w:w="120"/>
            </w:tcMar>
          </w:tcPr>
          <w:p>
            <w:r>
              <w:rPr>
                <w:b w:val="false"/>
                <w:bCs w:val="false"/>
                <w:color w:val="1A1A2E"/>
                <w:sz w:val="20"/>
                <w:szCs w:val="20"/>
              </w:rPr>
              <w:t xml:space="preserve">/api/treasury</w:t>
            </w:r>
          </w:p>
        </w:tc>
        <w:tc>
          <w:tcPr>
            <w:shd w:fill="F1F5F9" w:color="auto" w:val="clear"/>
            <w:tcMar>
              <w:top w:type="dxa" w:w="100"/>
              <w:left w:type="dxa" w:w="120"/>
              <w:bottom w:type="dxa" w:w="100"/>
              <w:right w:type="dxa" w:w="120"/>
            </w:tcMar>
          </w:tcPr>
          <w:p>
            <w:r>
              <w:rPr>
                <w:b w:val="false"/>
                <w:bCs w:val="false"/>
                <w:color w:val="1A1A2E"/>
                <w:sz w:val="20"/>
                <w:szCs w:val="20"/>
              </w:rPr>
              <w:t xml:space="preserve">Lista sub-cuentas A1-A7 / ajusta saldo.</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GET</w:t>
            </w:r>
          </w:p>
        </w:tc>
        <w:tc>
          <w:tcPr>
            <w:shd w:fill="FFFFFF" w:color="auto" w:val="clear"/>
            <w:tcMar>
              <w:top w:type="dxa" w:w="100"/>
              <w:left w:type="dxa" w:w="120"/>
              <w:bottom w:type="dxa" w:w="100"/>
              <w:right w:type="dxa" w:w="120"/>
            </w:tcMar>
          </w:tcPr>
          <w:p>
            <w:r>
              <w:rPr>
                <w:b w:val="false"/>
                <w:bCs w:val="false"/>
                <w:color w:val="1A1A2E"/>
                <w:sz w:val="20"/>
                <w:szCs w:val="20"/>
              </w:rPr>
              <w:t xml:space="preserve">/api/ads?status=active&amp;limit=50</w:t>
            </w:r>
          </w:p>
        </w:tc>
        <w:tc>
          <w:tcPr>
            <w:shd w:fill="FFFFFF" w:color="auto" w:val="clear"/>
            <w:tcMar>
              <w:top w:type="dxa" w:w="100"/>
              <w:left w:type="dxa" w:w="120"/>
              <w:bottom w:type="dxa" w:w="100"/>
              <w:right w:type="dxa" w:w="120"/>
            </w:tcMar>
          </w:tcPr>
          <w:p>
            <w:r>
              <w:rPr>
                <w:b w:val="false"/>
                <w:bCs w:val="false"/>
                <w:color w:val="1A1A2E"/>
                <w:sz w:val="20"/>
                <w:szCs w:val="20"/>
              </w:rPr>
              <w:t xml:space="preserve">Feed de anuncios ordenado por prioridad.</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w:t>
            </w:r>
          </w:p>
        </w:tc>
        <w:tc>
          <w:tcPr>
            <w:shd w:fill="F1F5F9" w:color="auto" w:val="clear"/>
            <w:tcMar>
              <w:top w:type="dxa" w:w="100"/>
              <w:left w:type="dxa" w:w="120"/>
              <w:bottom w:type="dxa" w:w="100"/>
              <w:right w:type="dxa" w:w="120"/>
            </w:tcMar>
          </w:tcPr>
          <w:p>
            <w:r>
              <w:rPr>
                <w:b w:val="false"/>
                <w:bCs w:val="false"/>
                <w:color w:val="1A1A2E"/>
                <w:sz w:val="20"/>
                <w:szCs w:val="20"/>
              </w:rPr>
              <w:t xml:space="preserve">/api/ads/top-rated?limit=6</w:t>
            </w:r>
          </w:p>
        </w:tc>
        <w:tc>
          <w:tcPr>
            <w:shd w:fill="F1F5F9" w:color="auto" w:val="clear"/>
            <w:tcMar>
              <w:top w:type="dxa" w:w="100"/>
              <w:left w:type="dxa" w:w="120"/>
              <w:bottom w:type="dxa" w:w="100"/>
              <w:right w:type="dxa" w:w="120"/>
            </w:tcMar>
          </w:tcPr>
          <w:p>
            <w:r>
              <w:rPr>
                <w:b w:val="false"/>
                <w:bCs w:val="false"/>
                <w:color w:val="1A1A2E"/>
                <w:sz w:val="20"/>
                <w:szCs w:val="20"/>
              </w:rPr>
              <w:t xml:space="preserve">Top anuncios mejor valorados con plan activo.</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GET</w:t>
            </w:r>
          </w:p>
        </w:tc>
        <w:tc>
          <w:tcPr>
            <w:shd w:fill="FFFFFF" w:color="auto" w:val="clear"/>
            <w:tcMar>
              <w:top w:type="dxa" w:w="100"/>
              <w:left w:type="dxa" w:w="120"/>
              <w:bottom w:type="dxa" w:w="100"/>
              <w:right w:type="dxa" w:w="120"/>
            </w:tcMar>
          </w:tcPr>
          <w:p>
            <w:r>
              <w:rPr>
                <w:b w:val="false"/>
                <w:bCs w:val="false"/>
                <w:color w:val="1A1A2E"/>
                <w:sz w:val="20"/>
                <w:szCs w:val="20"/>
              </w:rPr>
              <w:t xml:space="preserve">/api/stats</w:t>
            </w:r>
          </w:p>
        </w:tc>
        <w:tc>
          <w:tcPr>
            <w:shd w:fill="FFFFFF" w:color="auto" w:val="clear"/>
            <w:tcMar>
              <w:top w:type="dxa" w:w="100"/>
              <w:left w:type="dxa" w:w="120"/>
              <w:bottom w:type="dxa" w:w="100"/>
              <w:right w:type="dxa" w:w="120"/>
            </w:tcMar>
          </w:tcPr>
          <w:p>
            <w:r>
              <w:rPr>
                <w:b w:val="false"/>
                <w:bCs w:val="false"/>
                <w:color w:val="1A1A2E"/>
                <w:sz w:val="20"/>
                <w:szCs w:val="20"/>
              </w:rPr>
              <w:t xml:space="preserve">Estadísticas globales de la plataforma.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w:t>
            </w:r>
          </w:p>
        </w:tc>
        <w:tc>
          <w:tcPr>
            <w:shd w:fill="F1F5F9" w:color="auto" w:val="clear"/>
            <w:tcMar>
              <w:top w:type="dxa" w:w="100"/>
              <w:left w:type="dxa" w:w="120"/>
              <w:bottom w:type="dxa" w:w="100"/>
              <w:right w:type="dxa" w:w="120"/>
            </w:tcMar>
          </w:tcPr>
          <w:p>
            <w:r>
              <w:rPr>
                <w:b w:val="false"/>
                <w:bCs w:val="false"/>
                <w:color w:val="1A1A2E"/>
                <w:sz w:val="20"/>
                <w:szCs w:val="20"/>
              </w:rPr>
              <w:t xml:space="preserve">/api/audit?limit=50</w:t>
            </w:r>
          </w:p>
        </w:tc>
        <w:tc>
          <w:tcPr>
            <w:shd w:fill="F1F5F9" w:color="auto" w:val="clear"/>
            <w:tcMar>
              <w:top w:type="dxa" w:w="100"/>
              <w:left w:type="dxa" w:w="120"/>
              <w:bottom w:type="dxa" w:w="100"/>
              <w:right w:type="dxa" w:w="120"/>
            </w:tcMar>
          </w:tcPr>
          <w:p>
            <w:r>
              <w:rPr>
                <w:b w:val="false"/>
                <w:bCs w:val="false"/>
                <w:color w:val="1A1A2E"/>
                <w:sz w:val="20"/>
                <w:szCs w:val="20"/>
              </w:rPr>
              <w:t xml:space="preserve">Log inmutable de auditoría.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GET/POST/PUT/DELETE</w:t>
            </w:r>
          </w:p>
        </w:tc>
        <w:tc>
          <w:tcPr>
            <w:shd w:fill="FFFFFF" w:color="auto" w:val="clear"/>
            <w:tcMar>
              <w:top w:type="dxa" w:w="100"/>
              <w:left w:type="dxa" w:w="120"/>
              <w:bottom w:type="dxa" w:w="100"/>
              <w:right w:type="dxa" w:w="120"/>
            </w:tcMar>
          </w:tcPr>
          <w:p>
            <w:r>
              <w:rPr>
                <w:b w:val="false"/>
                <w:bCs w:val="false"/>
                <w:color w:val="1A1A2E"/>
                <w:sz w:val="20"/>
                <w:szCs w:val="20"/>
              </w:rPr>
              <w:t xml:space="preserve">/api/side-ads</w:t>
            </w:r>
          </w:p>
        </w:tc>
        <w:tc>
          <w:tcPr>
            <w:shd w:fill="FFFFFF" w:color="auto" w:val="clear"/>
            <w:tcMar>
              <w:top w:type="dxa" w:w="100"/>
              <w:left w:type="dxa" w:w="120"/>
              <w:bottom w:type="dxa" w:w="100"/>
              <w:right w:type="dxa" w:w="120"/>
            </w:tcMar>
          </w:tcPr>
          <w:p>
            <w:r>
              <w:rPr>
                <w:b w:val="false"/>
                <w:bCs w:val="false"/>
                <w:color w:val="1A1A2E"/>
                <w:sz w:val="20"/>
                <w:szCs w:val="20"/>
              </w:rPr>
              <w:t xml:space="preserve">CRUD de anuncios laterales (filtrar por ?position=left|right). Soporta GIF/banner/video.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GET/POST</w:t>
            </w:r>
          </w:p>
        </w:tc>
        <w:tc>
          <w:tcPr>
            <w:shd w:fill="F1F5F9" w:color="auto" w:val="clear"/>
            <w:tcMar>
              <w:top w:type="dxa" w:w="100"/>
              <w:left w:type="dxa" w:w="120"/>
              <w:bottom w:type="dxa" w:w="100"/>
              <w:right w:type="dxa" w:w="120"/>
            </w:tcMar>
          </w:tcPr>
          <w:p>
            <w:r>
              <w:rPr>
                <w:b w:val="false"/>
                <w:bCs w:val="false"/>
                <w:color w:val="1A1A2E"/>
                <w:sz w:val="20"/>
                <w:szCs w:val="20"/>
              </w:rPr>
              <w:t xml:space="preserve">/api/ratings</w:t>
            </w:r>
          </w:p>
        </w:tc>
        <w:tc>
          <w:tcPr>
            <w:shd w:fill="F1F5F9" w:color="auto" w:val="clear"/>
            <w:tcMar>
              <w:top w:type="dxa" w:w="100"/>
              <w:left w:type="dxa" w:w="120"/>
              <w:bottom w:type="dxa" w:w="100"/>
              <w:right w:type="dxa" w:w="120"/>
            </w:tcMar>
          </w:tcPr>
          <w:p>
            <w:r>
              <w:rPr>
                <w:b w:val="false"/>
                <w:bCs w:val="false"/>
                <w:color w:val="1A1A2E"/>
                <w:sz w:val="20"/>
                <w:szCs w:val="20"/>
              </w:rPr>
              <w:t xml:space="preserve">GET: ratings por adId. POST: upsert rating (1-5 estrellas). Body: { adId, userLabel, stars, comment? }</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GET</w:t>
            </w:r>
          </w:p>
        </w:tc>
        <w:tc>
          <w:tcPr>
            <w:shd w:fill="FFFFFF" w:color="auto" w:val="clear"/>
            <w:tcMar>
              <w:top w:type="dxa" w:w="100"/>
              <w:left w:type="dxa" w:w="120"/>
              <w:bottom w:type="dxa" w:w="100"/>
              <w:right w:type="dxa" w:w="120"/>
            </w:tcMar>
          </w:tcPr>
          <w:p>
            <w:r>
              <w:rPr>
                <w:b w:val="false"/>
                <w:bCs w:val="false"/>
                <w:color w:val="1A1A2E"/>
                <w:sz w:val="20"/>
                <w:szCs w:val="20"/>
              </w:rPr>
              <w:t xml:space="preserve">/api/price</w:t>
            </w:r>
          </w:p>
        </w:tc>
        <w:tc>
          <w:tcPr>
            <w:shd w:fill="FFFFFF" w:color="auto" w:val="clear"/>
            <w:tcMar>
              <w:top w:type="dxa" w:w="100"/>
              <w:left w:type="dxa" w:w="120"/>
              <w:bottom w:type="dxa" w:w="100"/>
              <w:right w:type="dxa" w:w="120"/>
            </w:tcMar>
          </w:tcPr>
          <w:p>
            <w:r>
              <w:rPr>
                <w:b w:val="false"/>
                <w:bCs w:val="false"/>
                <w:color w:val="1A1A2E"/>
                <w:sz w:val="20"/>
                <w:szCs w:val="20"/>
              </w:rPr>
              <w:t xml:space="preserve">Feed de precio $Knight en USD. Jupiter Price API + fallback manual configurable.</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GET/POST/PUT</w:t>
            </w:r>
          </w:p>
        </w:tc>
        <w:tc>
          <w:tcPr>
            <w:shd w:fill="F1F5F9" w:color="auto" w:val="clear"/>
            <w:tcMar>
              <w:top w:type="dxa" w:w="100"/>
              <w:left w:type="dxa" w:w="120"/>
              <w:bottom w:type="dxa" w:w="100"/>
              <w:right w:type="dxa" w:w="120"/>
            </w:tcMar>
          </w:tcPr>
          <w:p>
            <w:r>
              <w:rPr>
                <w:b w:val="false"/>
                <w:bCs w:val="false"/>
                <w:color w:val="1A1A2E"/>
                <w:sz w:val="20"/>
                <w:szCs w:val="20"/>
              </w:rPr>
              <w:t xml:space="preserve">/api/auth/admin</w:t>
            </w:r>
          </w:p>
        </w:tc>
        <w:tc>
          <w:tcPr>
            <w:shd w:fill="F1F5F9" w:color="auto" w:val="clear"/>
            <w:tcMar>
              <w:top w:type="dxa" w:w="100"/>
              <w:left w:type="dxa" w:w="120"/>
              <w:bottom w:type="dxa" w:w="100"/>
              <w:right w:type="dxa" w:w="120"/>
            </w:tcMar>
          </w:tcPr>
          <w:p>
            <w:r>
              <w:rPr>
                <w:b w:val="false"/>
                <w:bCs w:val="false"/>
                <w:color w:val="1A1A2E"/>
                <w:sz w:val="20"/>
                <w:szCs w:val="20"/>
              </w:rPr>
              <w:t xml:space="preserve">GET: config actual. POST body={ step: 'credentials'|'mfa', ... }: 2-step auth. PUT: actualizar credenciales + 2FA.</w:t>
            </w:r>
          </w:p>
        </w:tc>
      </w:tr>
    </w:tbl>
    <w:p>
      <w:pPr>
        <w:spacing w:after="120"/>
      </w:pPr>
    </w:p>
    <w:p>
      <w:pPr>
        <w:pStyle w:val="Heading1"/>
        <w:spacing w:after="160" w:before="360"/>
      </w:pPr>
      <w:r>
        <w:rPr>
          <w:b/>
          <w:bCs/>
          <w:color w:val="1A1A2E"/>
          <w:sz w:val="36"/>
          <w:szCs w:val="36"/>
        </w:rPr>
        <w:t xml:space="preserve">16. Guía de Instalación y Despliegue</w:t>
      </w:r>
    </w:p>
    <w:p>
      <w:pPr>
        <w:pStyle w:val="Heading2"/>
        <w:spacing w:after="120" w:before="280"/>
      </w:pPr>
      <w:r>
        <w:rPr>
          <w:b/>
          <w:bCs/>
          <w:color w:val="D4A017"/>
          <w:sz w:val="28"/>
          <w:szCs w:val="28"/>
        </w:rPr>
        <w:t xml:space="preserve">16.1 Requisitos</w:t>
      </w:r>
    </w:p>
    <w:p>
      <w:pPr>
        <w:pStyle w:val="ListParagraph"/>
        <w:numPr>
          <w:ilvl w:val="0"/>
          <w:numId w:val="1"/>
        </w:numPr>
        <w:spacing w:after="80" w:line="312"/>
      </w:pPr>
      <w:r>
        <w:rPr>
          <w:color w:val="1A1A2E"/>
          <w:sz w:val="22"/>
          <w:szCs w:val="22"/>
        </w:rPr>
        <w:t xml:space="preserve">Node.js 20+ o Bun 1.3+</w:t>
      </w:r>
    </w:p>
    <w:p>
      <w:pPr>
        <w:pStyle w:val="ListParagraph"/>
        <w:numPr>
          <w:ilvl w:val="0"/>
          <w:numId w:val="1"/>
        </w:numPr>
        <w:spacing w:after="80" w:line="312"/>
      </w:pPr>
      <w:r>
        <w:rPr>
          <w:color w:val="1A1A2E"/>
          <w:sz w:val="22"/>
          <w:szCs w:val="22"/>
        </w:rPr>
        <w:t xml:space="preserve">SQLite (incluido, no requiere instalación adicional)</w:t>
      </w:r>
    </w:p>
    <w:p>
      <w:pPr>
        <w:pStyle w:val="Heading2"/>
        <w:spacing w:after="120" w:before="280"/>
      </w:pPr>
      <w:r>
        <w:rPr>
          <w:b/>
          <w:bCs/>
          <w:color w:val="D4A017"/>
          <w:sz w:val="28"/>
          <w:szCs w:val="28"/>
        </w:rPr>
        <w:t xml:space="preserve">16.2 Instalación local</w:t>
      </w:r>
    </w:p>
    <w:p>
      <w:pPr>
        <w:spacing w:after="120" w:line="312"/>
      </w:pPr>
      <w:r>
        <w:rPr>
          <w:color w:val="1A1A2E"/>
          <w:sz w:val="22"/>
          <w:szCs w:val="22"/>
        </w:rPr>
        <w:t xml:space="preserve">Pasos para levantar la plataforma en desarrollo:</w:t>
      </w:r>
    </w:p>
    <w:p>
      <w:pPr>
        <w:shd w:fill="F1F5F9" w:color="auto" w:val="clear"/>
        <w:spacing w:after="80" w:before="80"/>
      </w:pPr>
      <w:r>
        <w:rPr>
          <w:rFonts w:ascii="Courier New" w:cs="Courier New" w:eastAsia="Courier New" w:hAnsi="Courier New"/>
          <w:b/>
          <w:bCs/>
          <w:color w:val="4F46E5"/>
          <w:sz w:val="20"/>
          <w:szCs w:val="20"/>
        </w:rPr>
        <w:t xml:space="preserve">bun install</w:t>
      </w:r>
    </w:p>
    <w:p>
      <w:pPr>
        <w:shd w:fill="F1F5F9" w:color="auto" w:val="clear"/>
        <w:spacing w:after="80"/>
      </w:pPr>
      <w:r>
        <w:rPr>
          <w:rFonts w:ascii="Courier New" w:cs="Courier New" w:eastAsia="Courier New" w:hAnsi="Courier New"/>
          <w:color w:val="4F46E5"/>
          <w:sz w:val="20"/>
          <w:szCs w:val="20"/>
        </w:rPr>
        <w:t xml:space="preserve">bun run db:push     # crea/aplica el schema SQLite</w:t>
      </w:r>
    </w:p>
    <w:p>
      <w:pPr>
        <w:shd w:fill="F1F5F9" w:color="auto" w:val="clear"/>
        <w:spacing w:after="80"/>
      </w:pPr>
      <w:r>
        <w:rPr>
          <w:rFonts w:ascii="Courier New" w:cs="Courier New" w:eastAsia="Courier New" w:hAnsi="Courier New"/>
          <w:color w:val="4F46E5"/>
          <w:sz w:val="20"/>
          <w:szCs w:val="20"/>
        </w:rPr>
        <w:t xml:space="preserve">bun run db:seed     # inserta datos iniciales</w:t>
      </w:r>
    </w:p>
    <w:p>
      <w:pPr>
        <w:shd w:fill="F1F5F9" w:color="auto" w:val="clear"/>
        <w:spacing w:after="160"/>
      </w:pPr>
      <w:r>
        <w:rPr>
          <w:rFonts w:ascii="Courier New" w:cs="Courier New" w:eastAsia="Courier New" w:hAnsi="Courier New"/>
          <w:color w:val="4F46E5"/>
          <w:sz w:val="20"/>
          <w:szCs w:val="20"/>
        </w:rPr>
        <w:t xml:space="preserve">bun run dev        # servidor en http://localhost:3000</w:t>
      </w:r>
    </w:p>
    <w:p>
      <w:pPr>
        <w:pStyle w:val="Heading2"/>
        <w:spacing w:after="120" w:before="280"/>
      </w:pPr>
      <w:r>
        <w:rPr>
          <w:b/>
          <w:bCs/>
          <w:color w:val="D4A017"/>
          <w:sz w:val="28"/>
          <w:szCs w:val="28"/>
        </w:rPr>
        <w:t xml:space="preserve">16.3 Comandos disponibles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Comando</w:t>
            </w:r>
          </w:p>
        </w:tc>
        <w:tc>
          <w:tcPr>
            <w:shd w:fill="1A1A2E" w:color="auto" w:val="clear"/>
            <w:tcMar>
              <w:top w:type="dxa" w:w="100"/>
              <w:left w:type="dxa" w:w="120"/>
              <w:bottom w:type="dxa" w:w="100"/>
              <w:right w:type="dxa" w:w="120"/>
            </w:tcMar>
          </w:tcPr>
          <w:p>
            <w:pPr>
              <w:jc w:val="center"/>
            </w:pPr>
            <w:r>
              <w:rPr>
                <w:b/>
                <w:bCs/>
                <w:color w:val="FFFFFF"/>
                <w:sz w:val="20"/>
                <w:szCs w:val="20"/>
              </w:rPr>
              <w:t xml:space="preserve">Acción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bun run dev</w:t>
            </w:r>
          </w:p>
        </w:tc>
        <w:tc>
          <w:tcPr>
            <w:shd w:fill="F1F5F9" w:color="auto" w:val="clear"/>
            <w:tcMar>
              <w:top w:type="dxa" w:w="100"/>
              <w:left w:type="dxa" w:w="120"/>
              <w:bottom w:type="dxa" w:w="100"/>
              <w:right w:type="dxa" w:w="120"/>
            </w:tcMar>
          </w:tcPr>
          <w:p>
            <w:r>
              <w:rPr>
                <w:b w:val="false"/>
                <w:bCs w:val="false"/>
                <w:color w:val="1A1A2E"/>
                <w:sz w:val="20"/>
                <w:szCs w:val="20"/>
              </w:rPr>
              <w:t xml:space="preserve">Servidor de desarrollo (puerto 3000)</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bun run lint</w:t>
            </w:r>
          </w:p>
        </w:tc>
        <w:tc>
          <w:tcPr>
            <w:shd w:fill="FFFFFF" w:color="auto" w:val="clear"/>
            <w:tcMar>
              <w:top w:type="dxa" w:w="100"/>
              <w:left w:type="dxa" w:w="120"/>
              <w:bottom w:type="dxa" w:w="100"/>
              <w:right w:type="dxa" w:w="120"/>
            </w:tcMar>
          </w:tcPr>
          <w:p>
            <w:r>
              <w:rPr>
                <w:b w:val="false"/>
                <w:bCs w:val="false"/>
                <w:color w:val="1A1A2E"/>
                <w:sz w:val="20"/>
                <w:szCs w:val="20"/>
              </w:rPr>
              <w:t xml:space="preserve">Verificación ESLint + reglas Next.js</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bun run db:push</w:t>
            </w:r>
          </w:p>
        </w:tc>
        <w:tc>
          <w:tcPr>
            <w:shd w:fill="F1F5F9" w:color="auto" w:val="clear"/>
            <w:tcMar>
              <w:top w:type="dxa" w:w="100"/>
              <w:left w:type="dxa" w:w="120"/>
              <w:bottom w:type="dxa" w:w="100"/>
              <w:right w:type="dxa" w:w="120"/>
            </w:tcMar>
          </w:tcPr>
          <w:p>
            <w:r>
              <w:rPr>
                <w:b w:val="false"/>
                <w:bCs w:val="false"/>
                <w:color w:val="1A1A2E"/>
                <w:sz w:val="20"/>
                <w:szCs w:val="20"/>
              </w:rPr>
              <w:t xml:space="preserve">Aplica el schema Prisma a la base SQLite</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bun run db:seed</w:t>
            </w:r>
          </w:p>
        </w:tc>
        <w:tc>
          <w:tcPr>
            <w:shd w:fill="FFFFFF" w:color="auto" w:val="clear"/>
            <w:tcMar>
              <w:top w:type="dxa" w:w="100"/>
              <w:left w:type="dxa" w:w="120"/>
              <w:bottom w:type="dxa" w:w="100"/>
              <w:right w:type="dxa" w:w="120"/>
            </w:tcMar>
          </w:tcPr>
          <w:p>
            <w:r>
              <w:rPr>
                <w:b w:val="false"/>
                <w:bCs w:val="false"/>
                <w:color w:val="1A1A2E"/>
                <w:sz w:val="20"/>
                <w:szCs w:val="20"/>
              </w:rPr>
              <w:t xml:space="preserve">Inserta datos iniciales (settings, planes, tesoro, ads)</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bun run db:generate</w:t>
            </w:r>
          </w:p>
        </w:tc>
        <w:tc>
          <w:tcPr>
            <w:shd w:fill="F1F5F9" w:color="auto" w:val="clear"/>
            <w:tcMar>
              <w:top w:type="dxa" w:w="100"/>
              <w:left w:type="dxa" w:w="120"/>
              <w:bottom w:type="dxa" w:w="100"/>
              <w:right w:type="dxa" w:w="120"/>
            </w:tcMar>
          </w:tcPr>
          <w:p>
            <w:r>
              <w:rPr>
                <w:b w:val="false"/>
                <w:bCs w:val="false"/>
                <w:color w:val="1A1A2E"/>
                <w:sz w:val="20"/>
                <w:szCs w:val="20"/>
              </w:rPr>
              <w:t xml:space="preserve">Regenera el Prisma Client</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bun run build</w:t>
            </w:r>
          </w:p>
        </w:tc>
        <w:tc>
          <w:tcPr>
            <w:shd w:fill="FFFFFF" w:color="auto" w:val="clear"/>
            <w:tcMar>
              <w:top w:type="dxa" w:w="100"/>
              <w:left w:type="dxa" w:w="120"/>
              <w:bottom w:type="dxa" w:w="100"/>
              <w:right w:type="dxa" w:w="120"/>
            </w:tcMar>
          </w:tcPr>
          <w:p>
            <w:r>
              <w:rPr>
                <w:b w:val="false"/>
                <w:bCs w:val="false"/>
                <w:color w:val="1A1A2E"/>
                <w:sz w:val="20"/>
                <w:szCs w:val="20"/>
              </w:rPr>
              <w:t xml:space="preserve">Build de producción (Next.js standalone)</w:t>
            </w:r>
          </w:p>
        </w:tc>
      </w:tr>
    </w:tbl>
    <w:p>
      <w:pPr>
        <w:pStyle w:val="Heading2"/>
        <w:spacing w:after="120" w:before="280"/>
      </w:pPr>
      <w:r>
        <w:rPr>
          <w:b/>
          <w:bCs/>
          <w:color w:val="D4A017"/>
          <w:sz w:val="28"/>
          <w:szCs w:val="28"/>
        </w:rPr>
        <w:t xml:space="preserve">16.4 Acceso al Centro de Administración</w:t>
      </w:r>
    </w:p>
    <w:p>
      <w:pPr>
        <w:spacing w:after="120" w:line="312"/>
      </w:pPr>
      <w:r>
        <w:rPr>
          <w:color w:val="1A1A2E"/>
          <w:sz w:val="22"/>
          <w:szCs w:val="22"/>
        </w:rPr>
        <w:t xml:space="preserve">Una vez el servidor esté corriendo, accede a:</w:t>
      </w:r>
    </w:p>
    <w:p>
      <w:pPr>
        <w:shd w:fill="F1F5F9" w:color="auto" w:val="clear"/>
        <w:spacing w:after="160" w:before="80"/>
      </w:pPr>
      <w:r>
        <w:rPr>
          <w:rFonts w:ascii="Courier New" w:cs="Courier New" w:eastAsia="Courier New" w:hAnsi="Courier New"/>
          <w:b/>
          <w:bCs/>
          <w:color w:val="4F46E5"/>
          <w:sz w:val="22"/>
          <w:szCs w:val="22"/>
        </w:rPr>
        <w:t xml:space="preserve">http://localhost:3000/?admin=1</w:t>
      </w:r>
    </w:p>
    <w:p>
      <w:pPr>
        <w:spacing w:after="120" w:line="312"/>
      </w:pPr>
      <w:r>
        <w:rPr>
          <w:color w:val="1A1A2E"/>
          <w:sz w:val="22"/>
          <w:szCs w:val="22"/>
        </w:rPr>
        <w:t xml:space="preserve">Frase de paso demo: knight-admin</w:t>
      </w:r>
    </w:p>
    <w:p>
      <w:pPr>
        <w:spacing w:after="120"/>
      </w:pPr>
    </w:p>
    <w:p>
      <w:pPr>
        <w:pStyle w:val="Heading2"/>
        <w:spacing w:after="120" w:before="280"/>
      </w:pPr>
      <w:r>
        <w:rPr>
          <w:b/>
          <w:bCs/>
          <w:color w:val="D4A017"/>
          <w:sz w:val="28"/>
          <w:szCs w:val="28"/>
        </w:rPr>
        <w:t xml:space="preserve">16.5 Soporte y contacto</w:t>
      </w:r>
    </w:p>
    <w:p>
      <w:pPr>
        <w:spacing w:after="120" w:line="312"/>
      </w:pPr>
      <w:r>
        <w:rPr>
          <w:color w:val="1A1A2E"/>
          <w:sz w:val="22"/>
          <w:szCs w:val="22"/>
        </w:rPr>
        <w:t xml:space="preserve">Para soporte técnico,报告es de bugs o solicitudes de características, contacta al equipo de Knight Ads a través de los canales oficiales listados en el footer de la plataforma (Twitter, GitHub, Telegram).</w:t>
      </w:r>
    </w:p>
    <w:p>
      <w:pPr>
        <w:spacing w:after="120"/>
      </w:pPr>
    </w:p>
    <w:p>
      <w:pPr>
        <w:spacing w:after="120" w:line="312"/>
        <w:jc w:val="center"/>
      </w:pPr>
      <w:r>
        <w:rPr>
          <w:i/>
          <w:iCs/>
          <w:color w:val="475569"/>
          <w:sz w:val="18"/>
          <w:szCs w:val="18"/>
        </w:rPr>
        <w:t xml:space="preserve">© 2026 Knight Ads. Documento maestro v2.4. Todos los derechos reservados.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Página </w:t>
    </w:r>
    <w:r>
      <w:rPr>
        <w:color w:val="475569"/>
        <w:sz w:val="18"/>
        <w:szCs w:val="18"/>
      </w:rPr>
      <w:fldChar w:fldCharType="begin"/>
      <w:instrText xml:space="preserve">PAGE</w:instrText>
      <w:fldChar w:fldCharType="separate"/>
      <w:fldChar w:fldCharType="end"/>
    </w:r>
    <w:r>
      <w:rPr>
        <w:color w:val="475569"/>
        <w:sz w:val="18"/>
        <w:szCs w:val="18"/>
      </w:rPr>
      <w:t xml:space="preserve"> de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75569"/>
        <w:sz w:val="18"/>
        <w:szCs w:val="18"/>
      </w:rPr>
      <w:t xml:space="preserve">Knight Ads · Documentación Oficial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 Ads — Documentación Oficial v2.4</dc:title>
  <dc:creator>Knight Ads</dc:creator>
  <dc:description>Documento maestro de diseño estructural de la plataforma Knight Ads</dc:description>
  <cp:lastModifiedBy>Un-named</cp:lastModifiedBy>
  <cp:revision>1</cp:revision>
  <dcterms:created xsi:type="dcterms:W3CDTF">2026-09-11T19:10:32.320Z</dcterms:created>
  <dcterms:modified xsi:type="dcterms:W3CDTF">2026-09-11T19:10:32.320Z</dcterms:modified>
</cp:coreProperties>
</file>

<file path=docProps/custom.xml><?xml version="1.0" encoding="utf-8"?>
<Properties xmlns="http://schemas.openxmlformats.org/officeDocument/2006/custom-properties" xmlns:vt="http://schemas.openxmlformats.org/officeDocument/2006/docPropsVTypes"/>
</file>