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</w:pPr>
      <w:r>
        <w:t>Якутина Светлана 22215</w:t>
      </w:r>
    </w:p>
    <w:p w14:paraId="02000000">
      <w:pPr>
        <w:pStyle w:val="Style_1"/>
      </w:pPr>
    </w:p>
    <w:p w14:paraId="03000000">
      <w:pPr>
        <w:pStyle w:val="Style_1"/>
      </w:pPr>
    </w:p>
    <w:p w14:paraId="04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1) Действующее вещество</w:t>
      </w:r>
    </w:p>
    <w:p w14:paraId="05000000">
      <w:pPr>
        <w:spacing w:after="269" w:before="269"/>
        <w:ind w:firstLine="0" w:left="0" w:right="0"/>
      </w:pPr>
      <w:r>
        <w:rPr>
          <w:b w:val="1"/>
        </w:rPr>
        <w:t>Действующее вещество:</w:t>
      </w:r>
      <w:r>
        <w:t xml:space="preserve"> </w:t>
      </w:r>
      <w:r>
        <w:rPr>
          <w:i w:val="1"/>
        </w:rPr>
        <w:t>преднизон</w:t>
      </w:r>
      <w:r>
        <w:t xml:space="preserve"> (Prednisone) — синтетический глюкокортикостероид; в организме является пролекарством и превращается в активную форму </w:t>
      </w:r>
      <w:r>
        <w:rPr>
          <w:b w:val="1"/>
        </w:rPr>
        <w:t>преднизолон</w:t>
      </w:r>
      <w:r>
        <w:t>.</w:t>
      </w:r>
    </w:p>
    <w:p w14:paraId="06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2) Область применения</w:t>
      </w:r>
    </w:p>
    <w:p w14:paraId="07000000">
      <w:pPr>
        <w:spacing w:after="269" w:before="269"/>
        <w:ind w:firstLine="0" w:left="0" w:right="0"/>
      </w:pPr>
      <w:r>
        <w:rPr>
          <w:b w:val="1"/>
        </w:rPr>
        <w:t>Область применения:</w:t>
      </w:r>
      <w:r>
        <w:t xml:space="preserve"> противовоспалительная и иммунодепрессивная терапия при широком круге заболеваний, связанных с воспалением и/или гиперактивностью иммунной системы (например, аллергические реакции, астма и другие воспалительные/аутоиммунные состояния — по назначению врача).</w:t>
      </w:r>
    </w:p>
    <w:p w14:paraId="08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 xml:space="preserve">3) Молекулярный механизм действия </w:t>
      </w:r>
    </w:p>
    <w:p w14:paraId="09000000">
      <w:pPr>
        <w:spacing w:after="269" w:before="269"/>
        <w:ind w:firstLine="0" w:left="0" w:right="0"/>
      </w:pPr>
      <w:r>
        <w:rPr>
          <w:b w:val="1"/>
        </w:rPr>
        <w:t>Механизм действия:</w:t>
      </w:r>
      <w:r>
        <w:t xml:space="preserve"> преднизон (после превращения в преднизолон) проходит через мембрану клетки и </w:t>
      </w:r>
      <w:r>
        <w:rPr>
          <w:b w:val="1"/>
        </w:rPr>
        <w:t>связывается с глюкокортикоидным рецептором (GR/NR3C1)</w:t>
      </w:r>
      <w:r>
        <w:t xml:space="preserve"> в цитоплазме. Образованный комплекс перемещается в ядро и </w:t>
      </w:r>
      <w:r>
        <w:rPr>
          <w:b w:val="1"/>
        </w:rPr>
        <w:t>изменяет экспрессию генов</w:t>
      </w:r>
      <w:r>
        <w:t>: усиливает синтез противовоспалительных белков и подавляет транскрипцию провоспалительных факторов (цитокинов и медиаторов воспаления). В итоге снижаются воспаление и иммунная реактивность.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2025-12-26T20:22:56Z</dcterms:created>
  <dcterms:modified xsi:type="dcterms:W3CDTF">2025-12-26T20:22:56Z</dcterms:modified>
</cp:coreProperties>
</file>