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>Якутина Светлана 22215</w:t>
      </w:r>
    </w:p>
    <w:p w14:paraId="02000000">
      <w:pPr>
        <w:pStyle w:val="Style_1"/>
      </w:pPr>
    </w:p>
    <w:p w14:paraId="03000000">
      <w:pPr>
        <w:pStyle w:val="Style_1"/>
      </w:pPr>
      <w:r>
        <w:t>Первичная последовательность белка:</w:t>
      </w:r>
    </w:p>
    <w:p w14:paraId="04000000">
      <w:pPr>
        <w:pStyle w:val="Style_1"/>
      </w:pPr>
      <w:r>
        <w:t xml:space="preserve">MDKGDVTALPMKKWFTTNYHYLVPEVEPSAEIKLNSTKPFDEFNEAKSLGVETKPVFIGPYTFLKLARTPEAAELEIDKGLVNAVAAVYAEVLARFNDLG </w:t>
      </w:r>
      <w:r>
        <w:t xml:space="preserve">    </w:t>
      </w:r>
    </w:p>
    <w:p w14:paraId="05000000">
      <w:pPr>
        <w:spacing w:after="269" w:before="269"/>
        <w:ind w:firstLine="0" w:left="0" w:right="0"/>
      </w:pPr>
      <w:r>
        <w:t xml:space="preserve">Для заданной аминокислотной последовательности были получены два предсказания третичной структуры белка с использованием различных методов предсказания. Парное структурное выравнивание полученных моделей выполнено с помощью сервиса RCSB PDB Pairwise Structure Alignment с применением алгоритма </w:t>
      </w:r>
      <w:r>
        <w:t>jCE-CP</w:t>
      </w:r>
      <w:r>
        <w:t>.</w:t>
      </w:r>
    </w:p>
    <w:p w14:paraId="06000000">
      <w:pPr>
        <w:spacing w:after="269" w:before="269"/>
        <w:ind w:firstLine="0" w:left="0" w:right="0"/>
      </w:pPr>
      <w:r>
        <w:t>Результаты выравнивания демонстрируют высокую степень пространственного сходства предсказанных структур. Значение RMSD составило 0.93, а TM-score — 0.91, что указывает на практически идентичную глобальную укладку белка. Совпадение последовательностей составило 100%, при этом выравниванию подверглось большинство аминокислотных остатков.</w:t>
      </w:r>
    </w:p>
    <w:p w14:paraId="07000000">
      <w:pPr>
        <w:spacing w:after="269" w:before="269"/>
        <w:ind w:firstLine="0" w:left="0" w:right="0"/>
      </w:pPr>
      <w:r>
        <w:t>Небольшие различия наблюдаются преимущественно в терминальных и петлевых областях, что является типичным для гибких участков белковых структур. В целом полученные результаты свидетельствуют о согласованности предсказаний различных методов и подтверждают надёжность полученных моделей.</w:t>
      </w:r>
    </w:p>
    <w:p w14:paraId="08000000">
      <w:pPr>
        <w:pStyle w:val="Style_1"/>
      </w:pPr>
      <w:r>
        <w:t>Раскраска выровненных структур выполнена в ChimeraX по исходным моделям.</w:t>
      </w:r>
    </w:p>
    <w:p w14:paraId="09000000">
      <w:pPr>
        <w:pStyle w:val="Style_1"/>
      </w:pPr>
      <w:r>
        <w:drawing>
          <wp:inline>
            <wp:extent cx="6264372" cy="4453739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264372" cy="445373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2025-12-26T11:11:39Z</dcterms:created>
  <dcterms:modified xsi:type="dcterms:W3CDTF">2025-12-26T15:33:24Z</dcterms:modified>
</cp:coreProperties>
</file>