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Security &amp; Compliance Specification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OWASP 2025 + SOC2 + WCAG 2.1 AA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OWASP Top 10 (2025) Compliance</w:t>
      </w:r>
    </w:p>
    <w:p>
      <w:pPr>
        <w:pStyle w:val="Heading2"/>
      </w:pPr>
      <w:r>
        <w:t xml:space="preserve">A01: Broken Access Control</w:t>
      </w:r>
    </w:p>
    <w:p>
      <w:r>
        <w:t xml:space="preserve">Mitigations:</w:t>
      </w:r>
    </w:p>
    <w:p>
      <w:pPr>
        <w:pStyle w:val="ListParagraph"/>
        <w:numPr>
          <w:ilvl w:val="0"/>
          <w:numId w:val="2"/>
        </w:numPr>
      </w:pPr>
      <w:r>
        <w:t xml:space="preserve">Firestore Security Rules enforce RLS at database level</w:t>
      </w:r>
    </w:p>
    <w:p>
      <w:pPr>
        <w:pStyle w:val="ListParagraph"/>
        <w:numPr>
          <w:ilvl w:val="0"/>
          <w:numId w:val="2"/>
        </w:numPr>
      </w:pPr>
      <w:r>
        <w:t xml:space="preserve">JWT claims validated on every API request</w:t>
      </w:r>
    </w:p>
    <w:p>
      <w:pPr>
        <w:pStyle w:val="ListParagraph"/>
        <w:numPr>
          <w:ilvl w:val="0"/>
          <w:numId w:val="2"/>
        </w:numPr>
      </w:pPr>
      <w:r>
        <w:t xml:space="preserve">Organization isolation prevents cross-org data access</w:t>
      </w:r>
    </w:p>
    <w:p>
      <w:pPr>
        <w:pStyle w:val="ListParagraph"/>
        <w:numPr>
          <w:ilvl w:val="0"/>
          <w:numId w:val="2"/>
        </w:numPr>
      </w:pPr>
      <w:r>
        <w:t xml:space="preserve">Least privilege: Default deny, explicit grants only</w:t>
      </w:r>
    </w:p>
    <w:p>
      <w:pPr>
        <w:pStyle w:val="ListParagraph"/>
        <w:numPr>
          <w:ilvl w:val="0"/>
          <w:numId w:val="2"/>
        </w:numPr>
      </w:pPr>
      <w:r>
        <w:t xml:space="preserve">Audit logging: All access attempts logged</w:t>
      </w:r>
    </w:p>
    <w:p>
      <w:pPr>
        <w:pStyle w:val="Heading2"/>
      </w:pPr>
      <w:r>
        <w:t xml:space="preserve">A02: Cryptographic Failures</w:t>
      </w:r>
    </w:p>
    <w:p>
      <w:r>
        <w:t xml:space="preserve">Mitigations:</w:t>
      </w:r>
    </w:p>
    <w:p>
      <w:pPr>
        <w:pStyle w:val="ListParagraph"/>
        <w:numPr>
          <w:ilvl w:val="0"/>
          <w:numId w:val="2"/>
        </w:numPr>
      </w:pPr>
      <w:r>
        <w:t xml:space="preserve">TLS 1.3 enforced for all connections</w:t>
      </w:r>
    </w:p>
    <w:p>
      <w:pPr>
        <w:pStyle w:val="ListParagraph"/>
        <w:numPr>
          <w:ilvl w:val="0"/>
          <w:numId w:val="2"/>
        </w:numPr>
      </w:pPr>
      <w:r>
        <w:t xml:space="preserve">AES-256 encryption at rest for all data</w:t>
      </w:r>
    </w:p>
    <w:p>
      <w:pPr>
        <w:pStyle w:val="ListParagraph"/>
        <w:numPr>
          <w:ilvl w:val="0"/>
          <w:numId w:val="2"/>
        </w:numPr>
      </w:pPr>
      <w:r>
        <w:t xml:space="preserve">PII fields: Additional encryption with customer-managed keys</w:t>
      </w:r>
    </w:p>
    <w:p>
      <w:pPr>
        <w:pStyle w:val="ListParagraph"/>
        <w:numPr>
          <w:ilvl w:val="0"/>
          <w:numId w:val="2"/>
        </w:numPr>
      </w:pPr>
      <w:r>
        <w:t xml:space="preserve">Key rotation: Quarterly for app keys, annually for data keys</w:t>
      </w:r>
    </w:p>
    <w:p>
      <w:pPr>
        <w:pStyle w:val="Heading2"/>
      </w:pPr>
      <w:r>
        <w:t xml:space="preserve">A03: Injection</w:t>
      </w:r>
    </w:p>
    <w:p>
      <w:r>
        <w:t xml:space="preserve">Mitigations:</w:t>
      </w:r>
    </w:p>
    <w:p>
      <w:pPr>
        <w:pStyle w:val="ListParagraph"/>
        <w:numPr>
          <w:ilvl w:val="0"/>
          <w:numId w:val="2"/>
        </w:numPr>
      </w:pPr>
      <w:r>
        <w:t xml:space="preserve">Parameterized queries: Firestore SDK prevents injection</w:t>
      </w:r>
    </w:p>
    <w:p>
      <w:pPr>
        <w:pStyle w:val="ListParagraph"/>
        <w:numPr>
          <w:ilvl w:val="0"/>
          <w:numId w:val="2"/>
        </w:numPr>
      </w:pPr>
      <w:r>
        <w:t xml:space="preserve">Input validation: Zod schemas validate all inputs</w:t>
      </w:r>
    </w:p>
    <w:p>
      <w:pPr>
        <w:pStyle w:val="ListParagraph"/>
        <w:numPr>
          <w:ilvl w:val="0"/>
          <w:numId w:val="2"/>
        </w:numPr>
      </w:pPr>
      <w:r>
        <w:t xml:space="preserve">Output encoding: React automatically escapes HTML</w:t>
      </w:r>
    </w:p>
    <w:p>
      <w:pPr>
        <w:pStyle w:val="ListParagraph"/>
        <w:numPr>
          <w:ilvl w:val="0"/>
          <w:numId w:val="2"/>
        </w:numPr>
      </w:pPr>
      <w:r>
        <w:t xml:space="preserve">CSP headers prevent inline scripts</w:t>
      </w:r>
    </w:p>
    <w:p>
      <w:r>
        <w:br w:type="page"/>
      </w:r>
    </w:p>
    <w:p>
      <w:pPr>
        <w:pStyle w:val="Heading1"/>
      </w:pPr>
      <w:r>
        <w:t xml:space="preserve">WCAG 2.1 AA Compliance</w:t>
      </w:r>
    </w:p>
    <w:p>
      <w:pPr>
        <w:pStyle w:val="Heading2"/>
      </w:pPr>
      <w:r>
        <w:t xml:space="preserve">Perceivable</w:t>
      </w:r>
    </w:p>
    <w:p>
      <w:pPr>
        <w:pStyle w:val="ListParagraph"/>
        <w:numPr>
          <w:ilvl w:val="0"/>
          <w:numId w:val="2"/>
        </w:numPr>
      </w:pPr>
      <w:r>
        <w:t xml:space="preserve">Text alternatives: All images have descriptive alt text</w:t>
      </w:r>
    </w:p>
    <w:p>
      <w:pPr>
        <w:pStyle w:val="ListParagraph"/>
        <w:numPr>
          <w:ilvl w:val="0"/>
          <w:numId w:val="2"/>
        </w:numPr>
      </w:pPr>
      <w:r>
        <w:t xml:space="preserve">Color contrast: 4.5:1 ratio for normal text</w:t>
      </w:r>
    </w:p>
    <w:p>
      <w:pPr>
        <w:pStyle w:val="ListParagraph"/>
        <w:numPr>
          <w:ilvl w:val="0"/>
          <w:numId w:val="2"/>
        </w:numPr>
      </w:pPr>
      <w:r>
        <w:t xml:space="preserve">Resizable text: Support 200% zoom</w:t>
      </w:r>
    </w:p>
    <w:p>
      <w:pPr>
        <w:pStyle w:val="Heading2"/>
      </w:pPr>
      <w:r>
        <w:t xml:space="preserve">Operable</w:t>
      </w:r>
    </w:p>
    <w:p>
      <w:pPr>
        <w:pStyle w:val="ListParagraph"/>
        <w:numPr>
          <w:ilvl w:val="0"/>
          <w:numId w:val="2"/>
        </w:numPr>
      </w:pPr>
      <w:r>
        <w:t xml:space="preserve">Keyboard accessible: All functions via keyboard</w:t>
      </w:r>
    </w:p>
    <w:p>
      <w:pPr>
        <w:pStyle w:val="ListParagraph"/>
        <w:numPr>
          <w:ilvl w:val="0"/>
          <w:numId w:val="2"/>
        </w:numPr>
      </w:pPr>
      <w:r>
        <w:t xml:space="preserve">No keyboard traps</w:t>
      </w:r>
    </w:p>
    <w:p>
      <w:pPr>
        <w:pStyle w:val="ListParagraph"/>
        <w:numPr>
          <w:ilvl w:val="0"/>
          <w:numId w:val="2"/>
        </w:numPr>
      </w:pPr>
      <w:r>
        <w:t xml:space="preserve">Clear focus indicators</w:t>
      </w:r>
    </w:p>
    <w:p>
      <w:pPr>
        <w:pStyle w:val="Heading2"/>
      </w:pPr>
      <w:r>
        <w:t xml:space="preserve">Understandable</w:t>
      </w:r>
    </w:p>
    <w:p>
      <w:pPr>
        <w:pStyle w:val="ListParagraph"/>
        <w:numPr>
          <w:ilvl w:val="0"/>
          <w:numId w:val="2"/>
        </w:numPr>
      </w:pPr>
      <w:r>
        <w:t xml:space="preserve">Clear error messages and labels</w:t>
      </w:r>
    </w:p>
    <w:p>
      <w:pPr>
        <w:pStyle w:val="ListParagraph"/>
        <w:numPr>
          <w:ilvl w:val="0"/>
          <w:numId w:val="2"/>
        </w:numPr>
      </w:pPr>
      <w:r>
        <w:t xml:space="preserve">Consistent navigation</w:t>
      </w:r>
    </w:p>
    <w:p>
      <w:pPr>
        <w:pStyle w:val="ListParagraph"/>
        <w:numPr>
          <w:ilvl w:val="0"/>
          <w:numId w:val="2"/>
        </w:numPr>
      </w:pPr>
      <w:r>
        <w:t xml:space="preserve">Help text available</w:t>
      </w:r>
    </w:p>
    <w:p>
      <w:pPr>
        <w:pStyle w:val="Heading2"/>
      </w:pPr>
      <w:r>
        <w:t xml:space="preserve">Robust</w:t>
      </w:r>
    </w:p>
    <w:p>
      <w:pPr>
        <w:pStyle w:val="ListParagraph"/>
        <w:numPr>
          <w:ilvl w:val="0"/>
          <w:numId w:val="2"/>
        </w:numPr>
      </w:pPr>
      <w:r>
        <w:t xml:space="preserve">Valid HTML5 and ARIA</w:t>
      </w:r>
    </w:p>
    <w:p>
      <w:pPr>
        <w:pStyle w:val="ListParagraph"/>
        <w:numPr>
          <w:ilvl w:val="0"/>
          <w:numId w:val="2"/>
        </w:numPr>
      </w:pPr>
      <w:r>
        <w:t xml:space="preserve">Screen reader tested (NVDA, JAWS, VoiceOver)</w:t>
      </w:r>
    </w:p>
    <w:p>
      <w:r>
        <w:br w:type="page"/>
      </w:r>
    </w:p>
    <w:p>
      <w:pPr>
        <w:pStyle w:val="Heading1"/>
      </w:pPr>
      <w:r>
        <w:t xml:space="preserve">SOC2 Type II Compliance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with MFA for admins</w:t>
      </w:r>
    </w:p>
    <w:p>
      <w:pPr>
        <w:pStyle w:val="ListParagraph"/>
        <w:numPr>
          <w:ilvl w:val="0"/>
          <w:numId w:val="2"/>
        </w:numPr>
      </w:pPr>
      <w:r>
        <w:t xml:space="preserve">Network security: Firewall rules, VPN for admin access</w:t>
      </w:r>
    </w:p>
    <w:p>
      <w:pPr>
        <w:pStyle w:val="Heading2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t xml:space="preserve">99.95% uptime SLA with automated failover</w:t>
      </w:r>
    </w:p>
    <w:p>
      <w:pPr>
        <w:pStyle w:val="ListParagraph"/>
        <w:numPr>
          <w:ilvl w:val="0"/>
          <w:numId w:val="2"/>
        </w:numPr>
      </w:pPr>
      <w:r>
        <w:t xml:space="preserve">Incident response: 5-minute P0 response time</w:t>
      </w:r>
    </w:p>
    <w:p>
      <w:pPr>
        <w:pStyle w:val="Heading2"/>
      </w:pPr>
      <w:r>
        <w:t xml:space="preserve">Confidentiality</w:t>
      </w:r>
    </w:p>
    <w:p>
      <w:pPr>
        <w:pStyle w:val="ListParagraph"/>
        <w:numPr>
          <w:ilvl w:val="0"/>
          <w:numId w:val="2"/>
        </w:numPr>
      </w:pPr>
      <w:r>
        <w:t xml:space="preserve">Data encryption at rest and in transit</w:t>
      </w:r>
    </w:p>
    <w:p>
      <w:pPr>
        <w:pStyle w:val="ListParagraph"/>
        <w:numPr>
          <w:ilvl w:val="0"/>
          <w:numId w:val="2"/>
        </w:numPr>
      </w:pPr>
      <w:r>
        <w:t xml:space="preserve">Secure data disposal via cryptographic erasure</w:t>
      </w:r>
    </w:p>
    <w:p>
      <w:pPr>
        <w:pStyle w:val="Heading1"/>
      </w:pPr>
      <w:r>
        <w:t xml:space="preserve">GDPR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Right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Right to Access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Self-service data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Right to Erasure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Account deletion 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Right to Portability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JSON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48 hours</w:t>
            </w:r>
          </w:p>
        </w:tc>
      </w:tr>
    </w:tbl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Security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2026-01-12T19:20:08.610Z</dcterms:created>
  <dcterms:modified xsi:type="dcterms:W3CDTF">2026-01-12T19:20:08.610Z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