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sz w:val="2"/>
        </w:rPr>
      </w:r>
      <w:r>
        <w:br/>
      </w:r>
      <w:r>
        <w:br/>
      </w:r>
      <w:r>
        <w:br/>
      </w:r>
      <w:r>
        <w:br/>
      </w:r>
      <w:r>
        <w:br/>
      </w:r>
      <w:r>
        <w:br/>
      </w:r>
      <w:r>
        <w:br/>
      </w:r>
      <w:r>
        <w:br/>
      </w:r>
    </w:p>
    <w:p>
      <w:pPr>
        <w:pStyle w:val="Title"/>
        <w:jc w:val="center"/>
      </w:pPr>
      <w:r>
        <w:t>Web Application Penetration Testing Report</w:t>
      </w:r>
    </w:p>
    <w:p>
      <w:pPr>
        <w:spacing w:before="120" w:after="240"/>
        <w:jc w:val="center"/>
      </w:pPr>
      <w:r>
        <w:rPr>
          <w:rFonts w:ascii="Garamond" w:hAnsi="Garamond"/>
          <w:b w:val="0"/>
          <w:i w:val="0"/>
          <w:sz w:val="32"/>
        </w:rPr>
        <w:t>Organization: ECLLLLLLL2</w:t>
      </w:r>
    </w:p>
    <w:p>
      <w:pPr>
        <w:spacing w:after="120"/>
        <w:jc w:val="center"/>
      </w:pPr>
      <w:r>
        <w:rPr>
          <w:rFonts w:ascii="Garamond" w:hAnsi="Garamond"/>
          <w:b/>
          <w:i w:val="0"/>
          <w:sz w:val="22"/>
        </w:rPr>
        <w:t>Document Timestamp</w:t>
      </w:r>
    </w:p>
    <w:tbl>
      <w:tblPr>
        <w:tblW w:type="auto" w:w="0"/>
        <w:jc w:val="center"/>
        <w:tblLook w:firstColumn="1" w:firstRow="1" w:lastColumn="0" w:lastRow="0" w:noHBand="0" w:noVBand="1" w:val="04A0"/>
      </w:tblPr>
      <w:tblGrid>
        <w:gridCol w:w="2430"/>
        <w:gridCol w:w="2430"/>
        <w:gridCol w:w="2430"/>
        <w:gridCol w:w="2430"/>
      </w:tblGrid>
      <w:tr>
        <w:trPr>
          <w:cantSplit/>
        </w:trPr>
        <w:tc>
          <w:tcPr>
            <w:tcW w:type="dxa" w:w="243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shd w:val="clear" w:color="auto" w:fill="002060"/>
          </w:tcPr>
          <w:p>
            <w:pPr>
              <w:jc w:val="center"/>
            </w:pPr>
            <w:r>
              <w:rPr>
                <w:rFonts w:ascii="Garamond" w:hAnsi="Garamond"/>
                <w:b/>
                <w:i w:val="0"/>
                <w:color w:val="FFFFFF"/>
                <w:sz w:val="20"/>
              </w:rPr>
              <w:t>Version</w:t>
            </w:r>
          </w:p>
        </w:tc>
        <w:tc>
          <w:tcPr>
            <w:tcW w:type="dxa" w:w="243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shd w:val="clear" w:color="auto" w:fill="002060"/>
          </w:tcPr>
          <w:p>
            <w:pPr>
              <w:jc w:val="center"/>
            </w:pPr>
            <w:r>
              <w:rPr>
                <w:rFonts w:ascii="Garamond" w:hAnsi="Garamond"/>
                <w:b/>
                <w:i w:val="0"/>
                <w:color w:val="FFFFFF"/>
                <w:sz w:val="20"/>
              </w:rPr>
              <w:t>Issued by</w:t>
            </w:r>
          </w:p>
        </w:tc>
        <w:tc>
          <w:tcPr>
            <w:tcW w:type="dxa" w:w="243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shd w:val="clear" w:color="auto" w:fill="002060"/>
          </w:tcPr>
          <w:p>
            <w:pPr>
              <w:jc w:val="center"/>
            </w:pPr>
            <w:r>
              <w:rPr>
                <w:rFonts w:ascii="Garamond" w:hAnsi="Garamond"/>
                <w:b/>
                <w:i w:val="0"/>
                <w:color w:val="FFFFFF"/>
                <w:sz w:val="20"/>
              </w:rPr>
              <w:t>Reviewed by</w:t>
            </w:r>
          </w:p>
        </w:tc>
        <w:tc>
          <w:tcPr>
            <w:tcW w:type="dxa" w:w="243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shd w:val="clear" w:color="auto" w:fill="002060"/>
          </w:tcPr>
          <w:p>
            <w:pPr>
              <w:jc w:val="center"/>
            </w:pPr>
            <w:r>
              <w:rPr>
                <w:rFonts w:ascii="Garamond" w:hAnsi="Garamond"/>
                <w:b/>
                <w:i w:val="0"/>
                <w:color w:val="FFFFFF"/>
                <w:sz w:val="20"/>
              </w:rPr>
              <w:t>Issued Date</w:t>
            </w:r>
          </w:p>
        </w:tc>
      </w:tr>
      <w:tr>
        <w:trPr>
          <w:cantSplit/>
        </w:trPr>
        <w:tc>
          <w:tcPr>
            <w:tcW w:type="dxa" w:w="243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0"/>
              </w:rPr>
              <w:t>1.0</w:t>
            </w:r>
          </w:p>
        </w:tc>
        <w:tc>
          <w:tcPr>
            <w:tcW w:type="dxa" w:w="243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0"/>
              </w:rPr>
              <w:t>Krishna Gupta</w:t>
            </w:r>
          </w:p>
        </w:tc>
        <w:tc>
          <w:tcPr>
            <w:tcW w:type="dxa" w:w="243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0"/>
              </w:rPr>
              <w:t>Indrakant Chaubey</w:t>
            </w:r>
          </w:p>
        </w:tc>
        <w:tc>
          <w:tcPr>
            <w:tcW w:type="dxa" w:w="243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0"/>
              </w:rPr>
              <w:t>15-07-2026</w:t>
            </w:r>
          </w:p>
        </w:tc>
      </w:tr>
    </w:tbl>
    <w:p>
      <w:r>
        <w:br w:type="page"/>
      </w:r>
    </w:p>
    <w:p>
      <w:pPr>
        <w:pStyle w:val="Heading1"/>
      </w:pPr>
      <w:r>
        <w:t>Table of Contents</w:t>
      </w:r>
    </w:p>
    <w:p>
      <w:r>
        <w:fldChar w:fldCharType="begin" w:dirty="true"/>
        <w:instrText xml:space="preserve">TOC \o "1-3" \h \z \u</w:instrText>
      </w:r>
      <w:r>
        <w:fldChar w:fldCharType="separate"/>
      </w:r>
      <w:r>
        <w:rPr>
          <w:rFonts w:ascii="Garamond" w:hAnsi="Garamond"/>
          <w:b w:val="0"/>
          <w:i/>
          <w:sz w:val="20"/>
        </w:rPr>
        <w:t>Right-click here and choose “Update Field” (or press F9) to generate the Table of Contents.</w:t>
      </w:r>
      <w:r>
        <w:fldChar w:fldCharType="end"/>
      </w:r>
    </w:p>
    <w:p>
      <w:r>
        <w:br w:type="page"/>
      </w:r>
    </w:p>
    <w:p>
      <w:pPr>
        <w:pStyle w:val="Heading1"/>
      </w:pPr>
      <w:r>
        <w:t>1. Document Control</w:t>
      </w:r>
    </w:p>
    <w:p>
      <w:pPr>
        <w:pStyle w:val="Heading2"/>
      </w:pPr>
      <w:r>
        <w:t>1.1 Document Approvers</w:t>
      </w:r>
    </w:p>
    <w:p>
      <w:pPr>
        <w:spacing w:after="240"/>
      </w:pPr>
      <w:r>
        <w:rPr>
          <w:rFonts w:ascii="Garamond" w:hAnsi="Garamond"/>
          <w:b w:val="0"/>
          <w:i w:val="0"/>
          <w:sz w:val="22"/>
        </w:rPr>
        <w:t>The individuals who reviewed, verified and approved the content of this document based on the requirements of the defined services during this document's creation are listed in the table below:</w:t>
      </w:r>
    </w:p>
    <w:tbl>
      <w:tblPr>
        <w:tblW w:type="auto" w:w="0"/>
        <w:tblLook w:firstColumn="1" w:firstRow="1" w:lastColumn="0" w:lastRow="0" w:noHBand="0" w:noVBand="1" w:val="04A0"/>
      </w:tblPr>
      <w:tblGrid>
        <w:gridCol w:w="3240"/>
        <w:gridCol w:w="3240"/>
        <w:gridCol w:w="3240"/>
      </w:tblGrid>
      <w:tr>
        <w:trPr>
          <w:cantSplit/>
        </w:trPr>
        <w:tc>
          <w:tcPr>
            <w:tcW w:type="dxa" w:w="324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shd w:val="clear" w:color="auto" w:fill="002060"/>
          </w:tcPr>
          <w:p>
            <w:pPr>
              <w:jc w:val="center"/>
            </w:pPr>
            <w:r>
              <w:rPr>
                <w:rFonts w:ascii="Garamond" w:hAnsi="Garamond"/>
                <w:b/>
                <w:i w:val="0"/>
                <w:color w:val="FFFFFF"/>
                <w:sz w:val="20"/>
              </w:rPr>
              <w:t>Approver Name</w:t>
            </w:r>
          </w:p>
        </w:tc>
        <w:tc>
          <w:tcPr>
            <w:tcW w:type="dxa" w:w="324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shd w:val="clear" w:color="auto" w:fill="002060"/>
          </w:tcPr>
          <w:p>
            <w:pPr>
              <w:jc w:val="center"/>
            </w:pPr>
            <w:r>
              <w:rPr>
                <w:rFonts w:ascii="Garamond" w:hAnsi="Garamond"/>
                <w:b/>
                <w:i w:val="0"/>
                <w:color w:val="FFFFFF"/>
                <w:sz w:val="20"/>
              </w:rPr>
              <w:t>Approver Designation</w:t>
            </w:r>
          </w:p>
        </w:tc>
        <w:tc>
          <w:tcPr>
            <w:tcW w:type="dxa" w:w="324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shd w:val="clear" w:color="auto" w:fill="002060"/>
          </w:tcPr>
          <w:p>
            <w:pPr>
              <w:jc w:val="center"/>
            </w:pPr>
            <w:r>
              <w:rPr>
                <w:rFonts w:ascii="Garamond" w:hAnsi="Garamond"/>
                <w:b/>
                <w:i w:val="0"/>
                <w:color w:val="FFFFFF"/>
                <w:sz w:val="20"/>
              </w:rPr>
              <w:t>Date Content was Approved</w:t>
            </w:r>
          </w:p>
        </w:tc>
      </w:tr>
      <w:tr>
        <w:trPr>
          <w:cantSplit/>
        </w:trPr>
        <w:tc>
          <w:tcPr>
            <w:tcW w:type="dxa" w:w="324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0"/>
              </w:rPr>
              <w:t>Derrick Anthony</w:t>
            </w:r>
          </w:p>
        </w:tc>
        <w:tc>
          <w:tcPr>
            <w:tcW w:type="dxa" w:w="324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0"/>
              </w:rPr>
              <w:t>Manager - Cyber Security</w:t>
            </w:r>
          </w:p>
        </w:tc>
        <w:tc>
          <w:tcPr>
            <w:tcW w:type="dxa" w:w="324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0"/>
              </w:rPr>
              <w:t>15-07-2026</w:t>
            </w:r>
          </w:p>
        </w:tc>
      </w:tr>
    </w:tbl>
    <w:p>
      <w:pPr>
        <w:pStyle w:val="Heading2"/>
      </w:pPr>
      <w:r>
        <w:t>1.2 Amendment Record</w:t>
      </w:r>
    </w:p>
    <w:p>
      <w:pPr>
        <w:spacing w:after="240"/>
      </w:pPr>
      <w:r>
        <w:rPr>
          <w:rFonts w:ascii="Garamond" w:hAnsi="Garamond"/>
          <w:b w:val="0"/>
          <w:i w:val="0"/>
          <w:sz w:val="22"/>
        </w:rPr>
        <w:t>The following Change History log contains a record of changes made to this document.</w:t>
      </w:r>
    </w:p>
    <w:tbl>
      <w:tblPr>
        <w:tblW w:type="auto" w:w="0"/>
        <w:tblLook w:firstColumn="1" w:firstRow="1" w:lastColumn="0" w:lastRow="0" w:noHBand="0" w:noVBand="1" w:val="04A0"/>
      </w:tblPr>
      <w:tblGrid>
        <w:gridCol w:w="2430"/>
        <w:gridCol w:w="2430"/>
        <w:gridCol w:w="2430"/>
        <w:gridCol w:w="2430"/>
      </w:tblGrid>
      <w:tr>
        <w:trPr>
          <w:cantSplit/>
        </w:trPr>
        <w:tc>
          <w:tcPr>
            <w:tcW w:type="dxa" w:w="243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shd w:val="clear" w:color="auto" w:fill="002060"/>
          </w:tcPr>
          <w:p>
            <w:pPr>
              <w:jc w:val="center"/>
            </w:pPr>
            <w:r>
              <w:rPr>
                <w:rFonts w:ascii="Garamond" w:hAnsi="Garamond"/>
                <w:b/>
                <w:i w:val="0"/>
                <w:color w:val="FFFFFF"/>
                <w:sz w:val="20"/>
              </w:rPr>
              <w:t>Version</w:t>
            </w:r>
          </w:p>
        </w:tc>
        <w:tc>
          <w:tcPr>
            <w:tcW w:type="dxa" w:w="243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shd w:val="clear" w:color="auto" w:fill="002060"/>
          </w:tcPr>
          <w:p>
            <w:pPr>
              <w:jc w:val="center"/>
            </w:pPr>
            <w:r>
              <w:rPr>
                <w:rFonts w:ascii="Garamond" w:hAnsi="Garamond"/>
                <w:b/>
                <w:i w:val="0"/>
                <w:color w:val="FFFFFF"/>
                <w:sz w:val="20"/>
              </w:rPr>
              <w:t>Issuer</w:t>
            </w:r>
          </w:p>
        </w:tc>
        <w:tc>
          <w:tcPr>
            <w:tcW w:type="dxa" w:w="243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shd w:val="clear" w:color="auto" w:fill="002060"/>
          </w:tcPr>
          <w:p>
            <w:pPr>
              <w:jc w:val="center"/>
            </w:pPr>
            <w:r>
              <w:rPr>
                <w:rFonts w:ascii="Garamond" w:hAnsi="Garamond"/>
                <w:b/>
                <w:i w:val="0"/>
                <w:color w:val="FFFFFF"/>
                <w:sz w:val="20"/>
              </w:rPr>
              <w:t>Section / Nature of Change</w:t>
            </w:r>
          </w:p>
        </w:tc>
        <w:tc>
          <w:tcPr>
            <w:tcW w:type="dxa" w:w="243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shd w:val="clear" w:color="auto" w:fill="002060"/>
          </w:tcPr>
          <w:p>
            <w:pPr>
              <w:jc w:val="center"/>
            </w:pPr>
            <w:r>
              <w:rPr>
                <w:rFonts w:ascii="Garamond" w:hAnsi="Garamond"/>
                <w:b/>
                <w:i w:val="0"/>
                <w:color w:val="FFFFFF"/>
                <w:sz w:val="20"/>
              </w:rPr>
              <w:t>Published/Revised Date</w:t>
            </w:r>
          </w:p>
        </w:tc>
      </w:tr>
      <w:tr>
        <w:trPr>
          <w:cantSplit/>
        </w:trPr>
        <w:tc>
          <w:tcPr>
            <w:tcW w:type="dxa" w:w="243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0"/>
              </w:rPr>
              <w:t>1.0</w:t>
            </w:r>
          </w:p>
        </w:tc>
        <w:tc>
          <w:tcPr>
            <w:tcW w:type="dxa" w:w="243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0"/>
              </w:rPr>
              <w:t>Krishna Gupta</w:t>
            </w:r>
          </w:p>
        </w:tc>
        <w:tc>
          <w:tcPr>
            <w:tcW w:type="dxa" w:w="243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0"/>
              </w:rPr>
              <w:t>Initial VAPT</w:t>
            </w:r>
          </w:p>
        </w:tc>
        <w:tc>
          <w:tcPr>
            <w:tcW w:type="dxa" w:w="243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0"/>
              </w:rPr>
              <w:t>15-07-2026</w:t>
            </w:r>
          </w:p>
        </w:tc>
      </w:tr>
    </w:tbl>
    <w:p>
      <w:r>
        <w:br w:type="page"/>
      </w:r>
    </w:p>
    <w:p>
      <w:pPr>
        <w:pStyle w:val="Heading1"/>
      </w:pPr>
      <w:r>
        <w:t>2. Executive Summary</w:t>
      </w:r>
    </w:p>
    <w:p>
      <w:pPr>
        <w:pStyle w:val="Heading2"/>
      </w:pPr>
      <w:r>
        <w:t>2.1 Scope of Testing</w:t>
      </w:r>
    </w:p>
    <w:p>
      <w:pPr>
        <w:spacing w:after="240"/>
      </w:pPr>
      <w:r>
        <w:rPr>
          <w:rFonts w:ascii="Garamond" w:hAnsi="Garamond"/>
          <w:b w:val="0"/>
          <w:i w:val="0"/>
          <w:sz w:val="22"/>
        </w:rPr>
        <w:t>The following URLs were in scope and included in this assessment:</w:t>
      </w:r>
    </w:p>
    <w:tbl>
      <w:tblPr>
        <w:tblW w:type="auto" w:w="0"/>
        <w:tblLook w:firstColumn="1" w:firstRow="1" w:lastColumn="0" w:lastRow="0" w:noHBand="0" w:noVBand="1" w:val="04A0"/>
      </w:tblPr>
      <w:tblGrid>
        <w:gridCol w:w="1944"/>
        <w:gridCol w:w="1944"/>
        <w:gridCol w:w="1944"/>
        <w:gridCol w:w="1944"/>
        <w:gridCol w:w="1944"/>
      </w:tblGrid>
      <w:tr>
        <w:trPr>
          <w:cantSplit/>
        </w:trPr>
        <w:tc>
          <w:tcPr>
            <w:tcW w:type="dxa" w:w="1944"/>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shd w:val="clear" w:color="auto" w:fill="002060"/>
          </w:tcPr>
          <w:p>
            <w:pPr>
              <w:jc w:val="center"/>
            </w:pPr>
            <w:r>
              <w:rPr>
                <w:rFonts w:ascii="Garamond" w:hAnsi="Garamond"/>
                <w:b/>
                <w:i w:val="0"/>
                <w:color w:val="FFFFFF"/>
                <w:sz w:val="18"/>
              </w:rPr>
              <w:t>Sr. No.</w:t>
            </w:r>
          </w:p>
        </w:tc>
        <w:tc>
          <w:tcPr>
            <w:tcW w:type="dxa" w:w="1944"/>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shd w:val="clear" w:color="auto" w:fill="002060"/>
          </w:tcPr>
          <w:p>
            <w:pPr>
              <w:jc w:val="center"/>
            </w:pPr>
            <w:r>
              <w:rPr>
                <w:rFonts w:ascii="Garamond" w:hAnsi="Garamond"/>
                <w:b/>
                <w:i w:val="0"/>
                <w:color w:val="FFFFFF"/>
                <w:sz w:val="18"/>
              </w:rPr>
              <w:t>Application Name</w:t>
            </w:r>
          </w:p>
        </w:tc>
        <w:tc>
          <w:tcPr>
            <w:tcW w:type="dxa" w:w="1944"/>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shd w:val="clear" w:color="auto" w:fill="002060"/>
          </w:tcPr>
          <w:p>
            <w:pPr>
              <w:jc w:val="center"/>
            </w:pPr>
            <w:r>
              <w:rPr>
                <w:rFonts w:ascii="Garamond" w:hAnsi="Garamond"/>
                <w:b/>
                <w:i w:val="0"/>
                <w:color w:val="FFFFFF"/>
                <w:sz w:val="18"/>
              </w:rPr>
              <w:t>Tested URL</w:t>
            </w:r>
          </w:p>
        </w:tc>
        <w:tc>
          <w:tcPr>
            <w:tcW w:type="dxa" w:w="1944"/>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shd w:val="clear" w:color="auto" w:fill="002060"/>
          </w:tcPr>
          <w:p>
            <w:pPr>
              <w:jc w:val="center"/>
            </w:pPr>
            <w:r>
              <w:rPr>
                <w:rFonts w:ascii="Garamond" w:hAnsi="Garamond"/>
                <w:b/>
                <w:i w:val="0"/>
                <w:color w:val="FFFFFF"/>
                <w:sz w:val="18"/>
              </w:rPr>
              <w:t>Tested Environment</w:t>
            </w:r>
          </w:p>
        </w:tc>
        <w:tc>
          <w:tcPr>
            <w:tcW w:type="dxa" w:w="1944"/>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shd w:val="clear" w:color="auto" w:fill="002060"/>
          </w:tcPr>
          <w:p>
            <w:pPr>
              <w:jc w:val="center"/>
            </w:pPr>
            <w:r>
              <w:rPr>
                <w:rFonts w:ascii="Garamond" w:hAnsi="Garamond"/>
                <w:b/>
                <w:i w:val="0"/>
                <w:color w:val="FFFFFF"/>
                <w:sz w:val="18"/>
              </w:rPr>
              <w:t>Testing Methodology</w:t>
            </w:r>
          </w:p>
        </w:tc>
      </w:tr>
      <w:tr>
        <w:trPr>
          <w:cantSplit/>
        </w:trPr>
        <w:tc>
          <w:tcPr>
            <w:tcW w:type="dxa" w:w="1944"/>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18"/>
              </w:rPr>
              <w:t>1</w:t>
            </w:r>
          </w:p>
        </w:tc>
        <w:tc>
          <w:tcPr>
            <w:tcW w:type="dxa" w:w="1944"/>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r>
              <w:rPr>
                <w:rFonts w:ascii="Garamond" w:hAnsi="Garamond"/>
                <w:b w:val="0"/>
                <w:i w:val="0"/>
                <w:color w:val="000000"/>
                <w:sz w:val="18"/>
              </w:rPr>
              <w:t>Application</w:t>
            </w:r>
          </w:p>
        </w:tc>
        <w:tc>
          <w:tcPr>
            <w:tcW w:type="dxa" w:w="1944"/>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r>
              <w:rPr>
                <w:rFonts w:ascii="Garamond" w:hAnsi="Garamond"/>
                <w:b w:val="0"/>
                <w:i w:val="0"/>
                <w:color w:val="000000"/>
                <w:sz w:val="18"/>
              </w:rPr>
              <w:t>https://example.com</w:t>
            </w:r>
          </w:p>
        </w:tc>
        <w:tc>
          <w:tcPr>
            <w:tcW w:type="dxa" w:w="1944"/>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r>
              <w:rPr>
                <w:rFonts w:ascii="Garamond" w:hAnsi="Garamond"/>
                <w:b w:val="0"/>
                <w:i w:val="0"/>
                <w:color w:val="000000"/>
                <w:sz w:val="18"/>
              </w:rPr>
              <w:t>PROD</w:t>
            </w:r>
          </w:p>
        </w:tc>
        <w:tc>
          <w:tcPr>
            <w:tcW w:type="dxa" w:w="1944"/>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r>
              <w:rPr>
                <w:rFonts w:ascii="Garamond" w:hAnsi="Garamond"/>
                <w:b w:val="0"/>
                <w:i w:val="0"/>
                <w:color w:val="000000"/>
                <w:sz w:val="18"/>
              </w:rPr>
              <w:t>BlackBox</w:t>
            </w:r>
          </w:p>
        </w:tc>
      </w:tr>
    </w:tbl>
    <w:p>
      <w:pPr>
        <w:pStyle w:val="Heading2"/>
      </w:pPr>
      <w:r>
        <w:t>2.2 Milestone</w:t>
      </w:r>
    </w:p>
    <w:tbl>
      <w:tblPr>
        <w:tblW w:type="auto" w:w="0"/>
        <w:tblLook w:firstColumn="1" w:firstRow="1" w:lastColumn="0" w:lastRow="0" w:noHBand="0" w:noVBand="1" w:val="04A0"/>
      </w:tblPr>
      <w:tblGrid>
        <w:gridCol w:w="4860"/>
        <w:gridCol w:w="4860"/>
      </w:tblGrid>
      <w:tr>
        <w:trPr>
          <w:cantSplit/>
        </w:trPr>
        <w:tc>
          <w:tcPr>
            <w:tcW w:type="dxa" w:w="486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shd w:val="clear" w:color="auto" w:fill="002060"/>
          </w:tcPr>
          <w:p>
            <w:pPr>
              <w:jc w:val="center"/>
            </w:pPr>
            <w:r>
              <w:rPr>
                <w:rFonts w:ascii="Garamond" w:hAnsi="Garamond"/>
                <w:b/>
                <w:i w:val="0"/>
                <w:color w:val="FFFFFF"/>
                <w:sz w:val="20"/>
              </w:rPr>
              <w:t>Milestone / Deliverable</w:t>
            </w:r>
          </w:p>
        </w:tc>
        <w:tc>
          <w:tcPr>
            <w:tcW w:type="dxa" w:w="486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shd w:val="clear" w:color="auto" w:fill="002060"/>
          </w:tcPr>
          <w:p>
            <w:pPr>
              <w:jc w:val="center"/>
            </w:pPr>
            <w:r>
              <w:rPr>
                <w:rFonts w:ascii="Garamond" w:hAnsi="Garamond"/>
                <w:b/>
                <w:i w:val="0"/>
                <w:color w:val="FFFFFF"/>
                <w:sz w:val="20"/>
              </w:rPr>
              <w:t>Date</w:t>
            </w:r>
          </w:p>
        </w:tc>
      </w:tr>
      <w:tr>
        <w:trPr>
          <w:cantSplit/>
        </w:trPr>
        <w:tc>
          <w:tcPr>
            <w:tcW w:type="dxa" w:w="486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0"/>
              </w:rPr>
              <w:t>VAPT Initiation</w:t>
            </w:r>
          </w:p>
        </w:tc>
        <w:tc>
          <w:tcPr>
            <w:tcW w:type="dxa" w:w="486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0"/>
              </w:rPr>
              <w:t>15-07-2026</w:t>
            </w:r>
          </w:p>
        </w:tc>
      </w:tr>
      <w:tr>
        <w:trPr>
          <w:cantSplit/>
        </w:trPr>
        <w:tc>
          <w:tcPr>
            <w:tcW w:type="dxa" w:w="486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0"/>
              </w:rPr>
              <w:t>VAPT Completion</w:t>
            </w:r>
          </w:p>
        </w:tc>
        <w:tc>
          <w:tcPr>
            <w:tcW w:type="dxa" w:w="486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0"/>
              </w:rPr>
              <w:t>15-07-2026</w:t>
            </w:r>
          </w:p>
        </w:tc>
      </w:tr>
    </w:tbl>
    <w:p>
      <w:pPr>
        <w:pStyle w:val="Heading2"/>
      </w:pPr>
      <w:r>
        <w:t>2.3 Risk Classification</w:t>
      </w:r>
    </w:p>
    <w:tbl>
      <w:tblPr>
        <w:tblW w:type="auto" w:w="0"/>
        <w:tblLayout w:type="fixed"/>
        <w:tblLook w:firstColumn="1" w:firstRow="1" w:lastColumn="0" w:lastRow="0" w:noHBand="0" w:noVBand="1" w:val="04A0"/>
      </w:tblPr>
      <w:tblGrid>
        <w:gridCol w:w="1750"/>
        <w:gridCol w:w="7970"/>
      </w:tblGrid>
      <w:tr>
        <w:trPr>
          <w:cantSplit/>
        </w:trPr>
        <w:tc>
          <w:tcPr>
            <w:tcW w:type="dxa" w:w="1750"/>
            <w:vAlign w:val="center"/>
            <w:shd w:val="clear" w:color="auto" w:fill="C0000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i w:val="0"/>
                <w:color w:val="FFFFFF"/>
                <w:sz w:val="22"/>
              </w:rPr>
              <w:t>Critical Risk</w:t>
            </w:r>
          </w:p>
        </w:tc>
        <w:tc>
          <w:tcPr>
            <w:tcW w:type="dxa" w:w="797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r>
              <w:rPr>
                <w:rFonts w:ascii="Garamond" w:hAnsi="Garamond"/>
                <w:b w:val="0"/>
                <w:i w:val="0"/>
                <w:color w:val="000000"/>
                <w:sz w:val="20"/>
              </w:rPr>
              <w:t>These vulnerabilities can allow attackers to take complete control of your web applications and web servers. In exploiting this type of vulnerability, attackers could carry out a range of malicious acts.</w:t>
            </w:r>
          </w:p>
        </w:tc>
      </w:tr>
      <w:tr>
        <w:trPr>
          <w:cantSplit/>
        </w:trPr>
        <w:tc>
          <w:tcPr>
            <w:tcW w:type="dxa" w:w="1750"/>
            <w:vAlign w:val="center"/>
            <w:shd w:val="clear" w:color="auto" w:fill="FF000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i w:val="0"/>
                <w:color w:val="FFFFFF"/>
                <w:sz w:val="22"/>
              </w:rPr>
              <w:t>High Risk</w:t>
            </w:r>
          </w:p>
        </w:tc>
        <w:tc>
          <w:tcPr>
            <w:tcW w:type="dxa" w:w="797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r>
              <w:rPr>
                <w:rFonts w:ascii="Garamond" w:hAnsi="Garamond"/>
                <w:b w:val="0"/>
                <w:i w:val="0"/>
                <w:color w:val="000000"/>
                <w:sz w:val="20"/>
              </w:rPr>
              <w:t>A High severity vulnerability, which means that on exploiting such vulnerabilities, attackers can view information about your system that helps them find or exploit other vulnerabilities that enable them to access sensitive user and administrator information.</w:t>
            </w:r>
          </w:p>
        </w:tc>
      </w:tr>
      <w:tr>
        <w:trPr>
          <w:cantSplit/>
        </w:trPr>
        <w:tc>
          <w:tcPr>
            <w:tcW w:type="dxa" w:w="1750"/>
            <w:vAlign w:val="center"/>
            <w:shd w:val="clear" w:color="auto" w:fill="FFC00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i w:val="0"/>
                <w:color w:val="000000"/>
                <w:sz w:val="22"/>
              </w:rPr>
              <w:t>Medium Risk</w:t>
            </w:r>
          </w:p>
        </w:tc>
        <w:tc>
          <w:tcPr>
            <w:tcW w:type="dxa" w:w="797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r>
              <w:rPr>
                <w:rFonts w:ascii="Garamond" w:hAnsi="Garamond"/>
                <w:b w:val="0"/>
                <w:i w:val="0"/>
                <w:color w:val="000000"/>
                <w:sz w:val="20"/>
              </w:rPr>
              <w:t>Potential weakness in controls, which could develop into an exposure. Or issues that represent areas of concern and may impact controls. They should be addressed reasonably promptly.</w:t>
            </w:r>
          </w:p>
        </w:tc>
      </w:tr>
      <w:tr>
        <w:trPr>
          <w:cantSplit/>
        </w:trPr>
        <w:tc>
          <w:tcPr>
            <w:tcW w:type="dxa" w:w="1750"/>
            <w:vAlign w:val="center"/>
            <w:shd w:val="clear" w:color="auto" w:fill="92D05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i w:val="0"/>
                <w:color w:val="000000"/>
                <w:sz w:val="22"/>
              </w:rPr>
              <w:t>Low Risk</w:t>
            </w:r>
          </w:p>
        </w:tc>
        <w:tc>
          <w:tcPr>
            <w:tcW w:type="dxa" w:w="797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r>
              <w:rPr>
                <w:rFonts w:ascii="Garamond" w:hAnsi="Garamond"/>
                <w:b w:val="0"/>
                <w:i w:val="0"/>
                <w:color w:val="000000"/>
                <w:sz w:val="20"/>
              </w:rPr>
              <w:t>Potential weaknesses in controls, which in combination with other weaknesses can develop into exposure. Suggested improvements not immediately/directly affecting controls.</w:t>
            </w:r>
          </w:p>
        </w:tc>
      </w:tr>
      <w:tr>
        <w:trPr>
          <w:cantSplit/>
        </w:trPr>
        <w:tc>
          <w:tcPr>
            <w:tcW w:type="dxa" w:w="1750"/>
            <w:vAlign w:val="center"/>
            <w:shd w:val="clear" w:color="auto" w:fill="00B0F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i w:val="0"/>
                <w:color w:val="000000"/>
                <w:sz w:val="22"/>
              </w:rPr>
              <w:t>Informational Risk</w:t>
            </w:r>
          </w:p>
        </w:tc>
        <w:tc>
          <w:tcPr>
            <w:tcW w:type="dxa" w:w="797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r>
              <w:rPr>
                <w:rFonts w:ascii="Garamond" w:hAnsi="Garamond"/>
                <w:b w:val="0"/>
                <w:i w:val="0"/>
                <w:color w:val="000000"/>
                <w:sz w:val="20"/>
              </w:rPr>
              <w:t>Weaknesses mentioned under these sections are informational and are best practices. Either these weaknesses cannot be exploited directly or are very difficult to exploit due to multiple constraints.</w:t>
            </w:r>
          </w:p>
        </w:tc>
      </w:tr>
    </w:tbl>
    <w:p>
      <w:r>
        <w:br w:type="page"/>
      </w:r>
    </w:p>
    <w:p>
      <w:pPr>
        <w:pStyle w:val="Heading1"/>
      </w:pPr>
      <w:r>
        <w:t>3. Summary of Findings</w:t>
      </w:r>
    </w:p>
    <w:p>
      <w:pPr>
        <w:spacing w:after="240"/>
      </w:pPr>
      <w:r>
        <w:rPr>
          <w:rFonts w:ascii="Garamond" w:hAnsi="Garamond"/>
          <w:b w:val="0"/>
          <w:i w:val="0"/>
          <w:sz w:val="22"/>
        </w:rPr>
        <w:t>This section lists and bifurcates the total number of vulnerabilities reported, based on risk level.</w:t>
      </w:r>
    </w:p>
    <w:p>
      <w:pPr>
        <w:spacing w:after="240"/>
      </w:pPr>
      <w:r>
        <w:rPr>
          <w:rFonts w:ascii="Garamond" w:hAnsi="Garamond"/>
          <w:b w:val="0"/>
          <w:i w:val="0"/>
          <w:sz w:val="22"/>
        </w:rPr>
        <w:t xml:space="preserve">The vulnerability assessment and penetration testing were performed on </w:t>
      </w:r>
      <w:r>
        <w:rPr>
          <w:rFonts w:ascii="Garamond" w:hAnsi="Garamond"/>
          <w:b/>
          <w:i w:val="0"/>
          <w:sz w:val="22"/>
        </w:rPr>
        <w:t xml:space="preserve">ECLLLLLLL2 </w:t>
      </w:r>
      <w:r>
        <w:rPr>
          <w:rFonts w:ascii="Garamond" w:hAnsi="Garamond"/>
          <w:b w:val="0"/>
          <w:i w:val="0"/>
          <w:sz w:val="22"/>
        </w:rPr>
        <w:t xml:space="preserve">applications. The test revealed </w:t>
      </w:r>
      <w:r>
        <w:rPr>
          <w:rFonts w:ascii="Garamond" w:hAnsi="Garamond"/>
          <w:b/>
          <w:i w:val="0"/>
          <w:sz w:val="22"/>
        </w:rPr>
        <w:t>1 Low, 1 Informational</w:t>
      </w:r>
      <w:r>
        <w:rPr>
          <w:rFonts w:ascii="Garamond" w:hAnsi="Garamond"/>
          <w:b w:val="0"/>
          <w:i w:val="0"/>
          <w:sz w:val="22"/>
        </w:rPr>
        <w:t xml:space="preserve"> vulnerabilities on the scope items. We recommend implementing the measures suggested for mitigation for each finding to improve the security posture of the affected systems.</w:t>
      </w:r>
    </w:p>
    <w:tbl>
      <w:tblPr>
        <w:tblW w:type="auto" w:w="0"/>
        <w:tblLook w:firstColumn="1" w:firstRow="1" w:lastColumn="0" w:lastRow="0" w:noHBand="0" w:noVBand="1" w:val="04A0"/>
      </w:tblPr>
      <w:tblGrid>
        <w:gridCol w:w="1620"/>
        <w:gridCol w:w="1620"/>
        <w:gridCol w:w="1620"/>
        <w:gridCol w:w="1620"/>
        <w:gridCol w:w="1620"/>
        <w:gridCol w:w="1620"/>
      </w:tblGrid>
      <w:tr>
        <w:tc>
          <w:tcPr>
            <w:tcW w:type="dxa" w:w="1620"/>
            <w:shd w:val="clear" w:color="auto" w:fill="C0000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i w:val="0"/>
                <w:color w:val="FFFFFF"/>
                <w:sz w:val="22"/>
              </w:rPr>
              <w:t>Critical</w:t>
            </w:r>
          </w:p>
        </w:tc>
        <w:tc>
          <w:tcPr>
            <w:tcW w:type="dxa" w:w="1620"/>
            <w:shd w:val="clear" w:color="auto" w:fill="FF000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i w:val="0"/>
                <w:color w:val="FFFFFF"/>
                <w:sz w:val="22"/>
              </w:rPr>
              <w:t>High</w:t>
            </w:r>
          </w:p>
        </w:tc>
        <w:tc>
          <w:tcPr>
            <w:tcW w:type="dxa" w:w="1620"/>
            <w:shd w:val="clear" w:color="auto" w:fill="FFC00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i w:val="0"/>
                <w:color w:val="000000"/>
                <w:sz w:val="22"/>
              </w:rPr>
              <w:t>Medium</w:t>
            </w:r>
          </w:p>
        </w:tc>
        <w:tc>
          <w:tcPr>
            <w:tcW w:type="dxa" w:w="1620"/>
            <w:shd w:val="clear" w:color="auto" w:fill="92D05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i w:val="0"/>
                <w:color w:val="000000"/>
                <w:sz w:val="22"/>
              </w:rPr>
              <w:t>Low</w:t>
            </w:r>
          </w:p>
        </w:tc>
        <w:tc>
          <w:tcPr>
            <w:tcW w:type="dxa" w:w="1620"/>
            <w:shd w:val="clear" w:color="auto" w:fill="00B0F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i w:val="0"/>
                <w:color w:val="000000"/>
                <w:sz w:val="22"/>
              </w:rPr>
              <w:t>Informational</w:t>
            </w:r>
          </w:p>
        </w:tc>
        <w:tc>
          <w:tcPr>
            <w:tcW w:type="dxa" w:w="1620"/>
            <w:shd w:val="clear" w:color="auto" w:fill="BFBFBF"/>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i w:val="0"/>
                <w:color w:val="000000"/>
                <w:sz w:val="22"/>
              </w:rPr>
              <w:t>Total</w:t>
            </w:r>
          </w:p>
        </w:tc>
      </w:tr>
      <w:tr>
        <w:tc>
          <w:tcPr>
            <w:tcW w:type="dxa" w:w="162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2"/>
              </w:rPr>
              <w:t>0</w:t>
            </w:r>
          </w:p>
        </w:tc>
        <w:tc>
          <w:tcPr>
            <w:tcW w:type="dxa" w:w="162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2"/>
              </w:rPr>
              <w:t>0</w:t>
            </w:r>
          </w:p>
        </w:tc>
        <w:tc>
          <w:tcPr>
            <w:tcW w:type="dxa" w:w="162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2"/>
              </w:rPr>
              <w:t>0</w:t>
            </w:r>
          </w:p>
        </w:tc>
        <w:tc>
          <w:tcPr>
            <w:tcW w:type="dxa" w:w="162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2"/>
              </w:rPr>
              <w:t>1</w:t>
            </w:r>
          </w:p>
        </w:tc>
        <w:tc>
          <w:tcPr>
            <w:tcW w:type="dxa" w:w="162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2"/>
              </w:rPr>
              <w:t>1</w:t>
            </w:r>
          </w:p>
        </w:tc>
        <w:tc>
          <w:tcPr>
            <w:tcW w:type="dxa" w:w="162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2"/>
              </w:rPr>
              <w:t>2</w:t>
            </w:r>
          </w:p>
        </w:tc>
      </w:tr>
    </w:tbl>
    <w:p>
      <w:r>
        <w:br w:type="page"/>
      </w:r>
    </w:p>
    <w:p>
      <w:pPr>
        <w:pStyle w:val="Heading1"/>
      </w:pPr>
      <w:r>
        <w:t>4. Vulnerability Analysis &amp; Findings</w:t>
      </w:r>
    </w:p>
    <w:p>
      <w:pPr>
        <w:pStyle w:val="Heading2"/>
      </w:pPr>
      <w:r>
        <w:t>4.1 Vulnerability Overview</w:t>
      </w:r>
    </w:p>
    <w:tbl>
      <w:tblPr>
        <w:tblW w:type="auto" w:w="0"/>
        <w:tblLook w:firstColumn="1" w:firstRow="1" w:lastColumn="0" w:lastRow="0" w:noHBand="0" w:noVBand="1" w:val="04A0"/>
      </w:tblPr>
      <w:tblGrid>
        <w:gridCol w:w="1944"/>
        <w:gridCol w:w="1944"/>
        <w:gridCol w:w="1944"/>
        <w:gridCol w:w="1944"/>
        <w:gridCol w:w="1944"/>
      </w:tblGrid>
      <w:tr>
        <w:trPr>
          <w:cantSplit/>
        </w:trPr>
        <w:tc>
          <w:tcPr>
            <w:tcW w:type="dxa" w:w="1944"/>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shd w:val="clear" w:color="auto" w:fill="002060"/>
          </w:tcPr>
          <w:p>
            <w:pPr>
              <w:jc w:val="center"/>
            </w:pPr>
            <w:r>
              <w:rPr>
                <w:rFonts w:ascii="Garamond" w:hAnsi="Garamond"/>
                <w:b/>
                <w:i w:val="0"/>
                <w:color w:val="FFFFFF"/>
                <w:sz w:val="20"/>
              </w:rPr>
              <w:t>Sr. No</w:t>
            </w:r>
          </w:p>
        </w:tc>
        <w:tc>
          <w:tcPr>
            <w:tcW w:type="dxa" w:w="1944"/>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shd w:val="clear" w:color="auto" w:fill="002060"/>
          </w:tcPr>
          <w:p>
            <w:pPr>
              <w:jc w:val="center"/>
            </w:pPr>
            <w:r>
              <w:rPr>
                <w:rFonts w:ascii="Garamond" w:hAnsi="Garamond"/>
                <w:b/>
                <w:i w:val="0"/>
                <w:color w:val="FFFFFF"/>
                <w:sz w:val="20"/>
              </w:rPr>
              <w:t>Vulnerability</w:t>
            </w:r>
          </w:p>
        </w:tc>
        <w:tc>
          <w:tcPr>
            <w:tcW w:type="dxa" w:w="1944"/>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shd w:val="clear" w:color="auto" w:fill="002060"/>
          </w:tcPr>
          <w:p>
            <w:pPr>
              <w:jc w:val="center"/>
            </w:pPr>
            <w:r>
              <w:rPr>
                <w:rFonts w:ascii="Garamond" w:hAnsi="Garamond"/>
                <w:b/>
                <w:i w:val="0"/>
                <w:color w:val="FFFFFF"/>
                <w:sz w:val="20"/>
              </w:rPr>
              <w:t>Severity</w:t>
            </w:r>
          </w:p>
        </w:tc>
        <w:tc>
          <w:tcPr>
            <w:tcW w:type="dxa" w:w="1944"/>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shd w:val="clear" w:color="auto" w:fill="002060"/>
          </w:tcPr>
          <w:p>
            <w:pPr>
              <w:jc w:val="center"/>
            </w:pPr>
            <w:r>
              <w:rPr>
                <w:rFonts w:ascii="Garamond" w:hAnsi="Garamond"/>
                <w:b/>
                <w:i w:val="0"/>
                <w:color w:val="FFFFFF"/>
                <w:sz w:val="20"/>
              </w:rPr>
              <w:t>CWE/CVE</w:t>
            </w:r>
          </w:p>
        </w:tc>
        <w:tc>
          <w:tcPr>
            <w:tcW w:type="dxa" w:w="1944"/>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shd w:val="clear" w:color="auto" w:fill="002060"/>
          </w:tcPr>
          <w:p>
            <w:pPr>
              <w:jc w:val="center"/>
            </w:pPr>
            <w:r>
              <w:rPr>
                <w:rFonts w:ascii="Garamond" w:hAnsi="Garamond"/>
                <w:b/>
                <w:i w:val="0"/>
                <w:color w:val="FFFFFF"/>
                <w:sz w:val="20"/>
              </w:rPr>
              <w:t>Status</w:t>
            </w:r>
          </w:p>
        </w:tc>
      </w:tr>
      <w:tr>
        <w:trPr>
          <w:cantSplit/>
        </w:trPr>
        <w:tc>
          <w:tcPr>
            <w:tcW w:type="dxa" w:w="1944"/>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0"/>
              </w:rPr>
              <w:t>1</w:t>
            </w:r>
          </w:p>
        </w:tc>
        <w:tc>
          <w:tcPr>
            <w:tcW w:type="dxa" w:w="1944"/>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r>
              <w:rPr>
                <w:rFonts w:ascii="Garamond" w:hAnsi="Garamond"/>
                <w:b w:val="0"/>
                <w:i w:val="0"/>
                <w:color w:val="000000"/>
                <w:sz w:val="20"/>
              </w:rPr>
              <w:t>Misconfigured CSP Header</w:t>
            </w:r>
          </w:p>
        </w:tc>
        <w:tc>
          <w:tcPr>
            <w:tcW w:type="dxa" w:w="1944"/>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shd w:val="clear" w:color="auto" w:fill="92D050"/>
          </w:tcPr>
          <w:p>
            <w:pPr>
              <w:jc w:val="center"/>
            </w:pPr>
            <w:r>
              <w:rPr>
                <w:rFonts w:ascii="Garamond" w:hAnsi="Garamond"/>
                <w:b/>
                <w:i w:val="0"/>
                <w:color w:val="000000"/>
                <w:sz w:val="20"/>
              </w:rPr>
              <w:t>Low</w:t>
            </w:r>
          </w:p>
        </w:tc>
        <w:tc>
          <w:tcPr>
            <w:tcW w:type="dxa" w:w="1944"/>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0"/>
              </w:rPr>
              <w:t>CVE‑2024‑29184</w:t>
            </w:r>
          </w:p>
        </w:tc>
        <w:tc>
          <w:tcPr>
            <w:tcW w:type="dxa" w:w="1944"/>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0"/>
              </w:rPr>
              <w:t>Open</w:t>
            </w:r>
          </w:p>
        </w:tc>
      </w:tr>
      <w:tr>
        <w:trPr>
          <w:cantSplit/>
        </w:trPr>
        <w:tc>
          <w:tcPr>
            <w:tcW w:type="dxa" w:w="1944"/>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0"/>
              </w:rPr>
              <w:t>2</w:t>
            </w:r>
          </w:p>
        </w:tc>
        <w:tc>
          <w:tcPr>
            <w:tcW w:type="dxa" w:w="1944"/>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r>
              <w:rPr>
                <w:rFonts w:ascii="Garamond" w:hAnsi="Garamond"/>
                <w:b w:val="0"/>
                <w:i w:val="0"/>
                <w:color w:val="000000"/>
                <w:sz w:val="20"/>
              </w:rPr>
              <w:t>Misconfigured CSP Header</w:t>
            </w:r>
          </w:p>
        </w:tc>
        <w:tc>
          <w:tcPr>
            <w:tcW w:type="dxa" w:w="1944"/>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shd w:val="clear" w:color="auto" w:fill="00B0F0"/>
          </w:tcPr>
          <w:p>
            <w:pPr>
              <w:jc w:val="center"/>
            </w:pPr>
            <w:r>
              <w:rPr>
                <w:rFonts w:ascii="Garamond" w:hAnsi="Garamond"/>
                <w:b/>
                <w:i w:val="0"/>
                <w:color w:val="000000"/>
                <w:sz w:val="20"/>
              </w:rPr>
              <w:t>Informational</w:t>
            </w:r>
          </w:p>
        </w:tc>
        <w:tc>
          <w:tcPr>
            <w:tcW w:type="dxa" w:w="1944"/>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0"/>
              </w:rPr>
              <w:t>CVE‑2024‑29184</w:t>
            </w:r>
          </w:p>
        </w:tc>
        <w:tc>
          <w:tcPr>
            <w:tcW w:type="dxa" w:w="1944"/>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0"/>
              </w:rPr>
              <w:t>Open</w:t>
            </w:r>
          </w:p>
        </w:tc>
      </w:tr>
    </w:tbl>
    <w:p>
      <w:r>
        <w:br w:type="page"/>
      </w:r>
    </w:p>
    <w:p>
      <w:pPr>
        <w:pStyle w:val="Heading2"/>
      </w:pPr>
      <w:r>
        <w:t>4.2 Detailed Findings</w:t>
      </w:r>
    </w:p>
    <w:p>
      <w:pPr>
        <w:pStyle w:val="Heading3"/>
      </w:pPr>
      <w:r>
        <w:t>4.2.1 Misconfigured CSP Header</w:t>
      </w:r>
    </w:p>
    <w:p>
      <w:pPr>
        <w:spacing w:line="276" w:lineRule="auto"/>
      </w:pPr>
      <w:r>
        <w:rPr>
          <w:rFonts w:ascii="Garamond" w:hAnsi="Garamond"/>
          <w:b/>
          <w:i w:val="0"/>
          <w:sz w:val="22"/>
        </w:rPr>
        <w:t xml:space="preserve">Severity Level: </w:t>
      </w:r>
      <w:r>
        <w:rPr>
          <w:rFonts w:ascii="Garamond" w:hAnsi="Garamond"/>
          <w:b/>
          <w:i w:val="0"/>
          <w:sz w:val="22"/>
        </w:rPr>
        <w:tab/>
        <w:tab/>
      </w:r>
      <w:r>
        <w:rPr>
          <w:rFonts w:ascii="Garamond" w:hAnsi="Garamond"/>
          <w:b/>
          <w:i w:val="0"/>
          <w:color w:val="92D050"/>
          <w:sz w:val="22"/>
        </w:rPr>
        <w:t>Low</w:t>
      </w:r>
    </w:p>
    <w:p>
      <w:pPr>
        <w:spacing w:line="276" w:lineRule="auto"/>
      </w:pPr>
      <w:r>
        <w:rPr>
          <w:rFonts w:ascii="Garamond" w:hAnsi="Garamond"/>
          <w:b/>
          <w:i w:val="0"/>
          <w:sz w:val="22"/>
        </w:rPr>
        <w:t xml:space="preserve">Status: </w:t>
      </w:r>
      <w:r>
        <w:rPr>
          <w:rFonts w:ascii="Garamond" w:hAnsi="Garamond"/>
          <w:b/>
          <w:i w:val="0"/>
          <w:sz w:val="22"/>
        </w:rPr>
        <w:tab/>
        <w:tab/>
      </w:r>
      <w:r>
        <w:rPr>
          <w:rFonts w:ascii="Garamond" w:hAnsi="Garamond"/>
          <w:b/>
          <w:i w:val="0"/>
          <w:color w:val="EE0000"/>
          <w:sz w:val="22"/>
        </w:rPr>
        <w:t>Open</w:t>
      </w:r>
    </w:p>
    <w:p>
      <w:pPr>
        <w:spacing w:line="276" w:lineRule="auto"/>
      </w:pPr>
      <w:r>
        <w:rPr>
          <w:rFonts w:ascii="Garamond" w:hAnsi="Garamond"/>
          <w:b/>
          <w:i w:val="0"/>
          <w:sz w:val="22"/>
        </w:rPr>
        <w:t xml:space="preserve">CVE/CWE: </w:t>
      </w:r>
      <w:r>
        <w:rPr>
          <w:rFonts w:ascii="Garamond" w:hAnsi="Garamond"/>
          <w:b/>
          <w:i w:val="0"/>
          <w:sz w:val="22"/>
        </w:rPr>
        <w:tab/>
        <w:tab/>
      </w:r>
      <w:r>
        <w:rPr>
          <w:rFonts w:ascii="Garamond" w:hAnsi="Garamond"/>
          <w:b/>
          <w:i w:val="0"/>
          <w:sz w:val="22"/>
        </w:rPr>
        <w:t>CVE‑2024‑29184</w:t>
      </w:r>
    </w:p>
    <w:p>
      <w:pPr>
        <w:spacing w:line="276" w:lineRule="auto" w:before="160" w:after="160"/>
        <w:jc w:val="both"/>
      </w:pPr>
      <w:r>
        <w:rPr>
          <w:rFonts w:ascii="Garamond" w:hAnsi="Garamond"/>
          <w:b/>
          <w:i w:val="0"/>
          <w:sz w:val="22"/>
        </w:rPr>
        <w:t xml:space="preserve">Description: </w:t>
      </w:r>
      <w:r>
        <w:rPr>
          <w:rFonts w:ascii="Garamond" w:hAnsi="Garamond"/>
          <w:b w:val="0"/>
          <w:i w:val="0"/>
          <w:sz w:val="22"/>
        </w:rPr>
        <w:t>During the assessment, it was observed that CSP is using unsafe eval and unsafe inline.</w:t>
      </w:r>
    </w:p>
    <w:p>
      <w:pPr>
        <w:spacing w:line="276" w:lineRule="auto" w:before="160" w:after="160"/>
        <w:jc w:val="both"/>
      </w:pPr>
      <w:r>
        <w:rPr>
          <w:rFonts w:ascii="Garamond" w:hAnsi="Garamond"/>
          <w:b/>
          <w:i w:val="0"/>
          <w:sz w:val="22"/>
        </w:rPr>
        <w:t xml:space="preserve">Business Impact: </w:t>
      </w:r>
      <w:r>
        <w:rPr>
          <w:rFonts w:ascii="Garamond" w:hAnsi="Garamond"/>
          <w:b w:val="0"/>
          <w:i w:val="0"/>
          <w:sz w:val="22"/>
        </w:rPr>
        <w:t>Using unsafe-eval and unsafe-inline in CSP lets attackers run harmful scripts easily. This can lead to Cross-Site Scripting (XSS) attacks and steal user data. It weakens browser protections meant to keep the website safe.</w:t>
      </w:r>
    </w:p>
    <w:p>
      <w:pPr>
        <w:spacing w:before="160" w:after="160"/>
        <w:jc w:val="both"/>
      </w:pPr>
      <w:r>
        <w:rPr>
          <w:rFonts w:ascii="Garamond" w:hAnsi="Garamond"/>
          <w:b/>
          <w:i w:val="0"/>
          <w:sz w:val="22"/>
        </w:rPr>
        <w:t xml:space="preserve">Vulnerable URLs: </w:t>
      </w:r>
      <w:r>
        <w:rPr>
          <w:rFonts w:ascii="Garamond" w:hAnsi="Garamond"/>
          <w:b w:val="0"/>
          <w:i w:val="0"/>
          <w:sz w:val="22"/>
        </w:rPr>
        <w:t>asdfghjklkjhgfdsdfghjk</w:t>
      </w:r>
    </w:p>
    <w:p>
      <w:pPr>
        <w:spacing w:before="160" w:after="160"/>
        <w:jc w:val="both"/>
      </w:pPr>
      <w:r>
        <w:rPr>
          <w:rFonts w:ascii="Garamond" w:hAnsi="Garamond"/>
          <w:b/>
          <w:i w:val="0"/>
          <w:sz w:val="22"/>
        </w:rPr>
        <w:t xml:space="preserve">POC1: </w:t>
      </w:r>
      <w:r>
        <w:rPr>
          <w:rFonts w:ascii="Garamond" w:hAnsi="Garamond"/>
          <w:b w:val="0"/>
          <w:i w:val="0"/>
          <w:sz w:val="22"/>
        </w:rPr>
        <w:t>no sensitive 1</w:t>
      </w:r>
    </w:p>
    <w:p>
      <w:pPr>
        <w:spacing w:before="160" w:after="160"/>
        <w:jc w:val="both"/>
      </w:pPr>
      <w:r>
        <w:rPr>
          <w:rFonts w:ascii="Garamond" w:hAnsi="Garamond"/>
          <w:b/>
          <w:i w:val="0"/>
          <w:sz w:val="22"/>
        </w:rPr>
        <w:t xml:space="preserve">POC2: </w:t>
      </w:r>
      <w:r>
        <w:rPr>
          <w:rFonts w:ascii="Garamond" w:hAnsi="Garamond"/>
          <w:b w:val="0"/>
          <w:i w:val="0"/>
          <w:sz w:val="22"/>
        </w:rPr>
        <w:t>no sensitive 2</w:t>
      </w:r>
    </w:p>
    <w:p>
      <w:pPr>
        <w:spacing w:line="276" w:lineRule="auto" w:before="160" w:after="160"/>
        <w:jc w:val="both"/>
      </w:pPr>
      <w:r>
        <w:rPr>
          <w:rFonts w:ascii="Garamond" w:hAnsi="Garamond"/>
          <w:b/>
          <w:i w:val="0"/>
          <w:sz w:val="22"/>
        </w:rPr>
        <w:t xml:space="preserve">Remediation: </w:t>
      </w:r>
      <w:r>
        <w:rPr>
          <w:rFonts w:ascii="Garamond" w:hAnsi="Garamond"/>
          <w:b w:val="0"/>
          <w:i w:val="0"/>
          <w:sz w:val="22"/>
        </w:rPr>
        <w:t>1. Remove 'unsafe-inline' and 'unsafe-eval' from script-src.</w:t>
        <w:br/>
        <w:br/>
        <w:t>2. Use CSP nonce or hashes for inline scripts.</w:t>
        <w:br/>
        <w:br/>
        <w:t>3. Avoid wildcard sources (*) in directives.</w:t>
      </w:r>
    </w:p>
    <w:p>
      <w:pPr>
        <w:spacing w:before="160" w:after="160"/>
        <w:jc w:val="both"/>
      </w:pPr>
      <w:r>
        <w:rPr>
          <w:rFonts w:ascii="Garamond" w:hAnsi="Garamond"/>
          <w:b/>
          <w:i w:val="0"/>
          <w:sz w:val="22"/>
        </w:rPr>
        <w:t xml:space="preserve">Reference: </w:t>
      </w:r>
      <w:r>
        <w:rPr>
          <w:rFonts w:ascii="Garamond" w:hAnsi="Garamond"/>
          <w:b w:val="0"/>
          <w:i w:val="0"/>
          <w:sz w:val="22"/>
        </w:rPr>
        <w:t>https://cheatsheetseries.owasp.org/cheatsheets/Content_Security_Policy_Cheat_Sheet.html</w:t>
      </w:r>
    </w:p>
    <w:p>
      <w:pPr>
        <w:spacing w:before="120" w:after="240"/>
        <w:pBdr>
          <w:bottom w:val="single" w:sz="6" w:space="1" w:color="BFBFBF"/>
        </w:pBdr>
      </w:pPr>
    </w:p>
    <w:p>
      <w:r>
        <w:br w:type="page"/>
      </w:r>
    </w:p>
    <w:p>
      <w:pPr>
        <w:pStyle w:val="Heading3"/>
      </w:pPr>
      <w:r>
        <w:t>4.2.2 Misconfigured CSP Header</w:t>
      </w:r>
    </w:p>
    <w:p>
      <w:pPr>
        <w:spacing w:line="276" w:lineRule="auto"/>
      </w:pPr>
      <w:r>
        <w:rPr>
          <w:rFonts w:ascii="Garamond" w:hAnsi="Garamond"/>
          <w:b/>
          <w:i w:val="0"/>
          <w:sz w:val="22"/>
        </w:rPr>
        <w:t xml:space="preserve">Severity Level: </w:t>
      </w:r>
      <w:r>
        <w:rPr>
          <w:rFonts w:ascii="Garamond" w:hAnsi="Garamond"/>
          <w:b/>
          <w:i w:val="0"/>
          <w:sz w:val="22"/>
        </w:rPr>
        <w:tab/>
        <w:tab/>
      </w:r>
      <w:r>
        <w:rPr>
          <w:rFonts w:ascii="Garamond" w:hAnsi="Garamond"/>
          <w:b/>
          <w:i w:val="0"/>
          <w:color w:val="00B0F0"/>
          <w:sz w:val="22"/>
        </w:rPr>
        <w:t>Informational</w:t>
      </w:r>
    </w:p>
    <w:p>
      <w:pPr>
        <w:spacing w:line="276" w:lineRule="auto"/>
      </w:pPr>
      <w:r>
        <w:rPr>
          <w:rFonts w:ascii="Garamond" w:hAnsi="Garamond"/>
          <w:b/>
          <w:i w:val="0"/>
          <w:sz w:val="22"/>
        </w:rPr>
        <w:t xml:space="preserve">Status: </w:t>
      </w:r>
      <w:r>
        <w:rPr>
          <w:rFonts w:ascii="Garamond" w:hAnsi="Garamond"/>
          <w:b/>
          <w:i w:val="0"/>
          <w:sz w:val="22"/>
        </w:rPr>
        <w:tab/>
        <w:tab/>
      </w:r>
      <w:r>
        <w:rPr>
          <w:rFonts w:ascii="Garamond" w:hAnsi="Garamond"/>
          <w:b/>
          <w:i w:val="0"/>
          <w:color w:val="EE0000"/>
          <w:sz w:val="22"/>
        </w:rPr>
        <w:t>Open</w:t>
      </w:r>
    </w:p>
    <w:p>
      <w:pPr>
        <w:spacing w:line="276" w:lineRule="auto"/>
      </w:pPr>
      <w:r>
        <w:rPr>
          <w:rFonts w:ascii="Garamond" w:hAnsi="Garamond"/>
          <w:b/>
          <w:i w:val="0"/>
          <w:sz w:val="22"/>
        </w:rPr>
        <w:t xml:space="preserve">CVE/CWE: </w:t>
      </w:r>
      <w:r>
        <w:rPr>
          <w:rFonts w:ascii="Garamond" w:hAnsi="Garamond"/>
          <w:b/>
          <w:i w:val="0"/>
          <w:sz w:val="22"/>
        </w:rPr>
        <w:tab/>
        <w:tab/>
      </w:r>
      <w:r>
        <w:rPr>
          <w:rFonts w:ascii="Garamond" w:hAnsi="Garamond"/>
          <w:b/>
          <w:i w:val="0"/>
          <w:sz w:val="22"/>
        </w:rPr>
        <w:t>CVE‑2024‑29184</w:t>
      </w:r>
    </w:p>
    <w:p>
      <w:pPr>
        <w:spacing w:line="276" w:lineRule="auto" w:before="160" w:after="160"/>
        <w:jc w:val="both"/>
      </w:pPr>
      <w:r>
        <w:rPr>
          <w:rFonts w:ascii="Garamond" w:hAnsi="Garamond"/>
          <w:b/>
          <w:i w:val="0"/>
          <w:sz w:val="22"/>
        </w:rPr>
        <w:t xml:space="preserve">Description: </w:t>
      </w:r>
      <w:r>
        <w:rPr>
          <w:rFonts w:ascii="Garamond" w:hAnsi="Garamond"/>
          <w:b w:val="0"/>
          <w:i w:val="0"/>
          <w:sz w:val="22"/>
        </w:rPr>
        <w:t>During the assessment, it was observed that CSP is using unsafe eval and unsafe inline.</w:t>
      </w:r>
    </w:p>
    <w:p>
      <w:pPr>
        <w:spacing w:line="276" w:lineRule="auto" w:before="160" w:after="160"/>
        <w:jc w:val="both"/>
      </w:pPr>
      <w:r>
        <w:rPr>
          <w:rFonts w:ascii="Garamond" w:hAnsi="Garamond"/>
          <w:b/>
          <w:i w:val="0"/>
          <w:sz w:val="22"/>
        </w:rPr>
        <w:t xml:space="preserve">Business Impact: </w:t>
      </w:r>
      <w:r>
        <w:rPr>
          <w:rFonts w:ascii="Garamond" w:hAnsi="Garamond"/>
          <w:b w:val="0"/>
          <w:i w:val="0"/>
          <w:sz w:val="22"/>
        </w:rPr>
        <w:t>Using unsafe-eval and unsafe-inline in CSP lets attackers run harmful scripts easily. This can lead to Cross-Site Scripting (XSS) attacks and steal user data. It weakens browser protections meant to keep the website safe.</w:t>
      </w:r>
    </w:p>
    <w:p>
      <w:pPr>
        <w:spacing w:before="160" w:after="160"/>
        <w:jc w:val="both"/>
      </w:pPr>
      <w:r>
        <w:rPr>
          <w:rFonts w:ascii="Garamond" w:hAnsi="Garamond"/>
          <w:b/>
          <w:i w:val="0"/>
          <w:sz w:val="22"/>
        </w:rPr>
        <w:t xml:space="preserve">Vulnerable URLs: </w:t>
      </w:r>
      <w:r>
        <w:rPr>
          <w:rFonts w:ascii="Garamond" w:hAnsi="Garamond"/>
          <w:b w:val="0"/>
          <w:i w:val="0"/>
          <w:sz w:val="22"/>
        </w:rPr>
        <w:t>https://cheatsheetseries.owasp.org/cheatsheets/Content_Security_Policy_Cheat_Sheet.html</w:t>
      </w:r>
    </w:p>
    <w:p>
      <w:pPr>
        <w:spacing w:before="160" w:after="160"/>
        <w:jc w:val="both"/>
      </w:pPr>
      <w:r>
        <w:rPr>
          <w:rFonts w:ascii="Garamond" w:hAnsi="Garamond"/>
          <w:b/>
          <w:i w:val="0"/>
          <w:sz w:val="22"/>
        </w:rPr>
        <w:t xml:space="preserve">POC1: </w:t>
      </w:r>
      <w:r>
        <w:rPr>
          <w:rFonts w:ascii="Garamond" w:hAnsi="Garamond"/>
          <w:b w:val="0"/>
          <w:i w:val="0"/>
          <w:sz w:val="22"/>
        </w:rPr>
        <w:t>https://cheatsheetseries.owasp.org/cheatsheets/Content_Security_Policy_Cheat_Sheet.html</w:t>
      </w:r>
    </w:p>
    <w:p>
      <w:pPr>
        <w:spacing w:after="80"/>
      </w:pPr>
    </w:p>
    <w:p>
      <w:pPr>
        <w:spacing w:after="200"/>
        <w:jc w:val="center"/>
      </w:pPr>
      <w:r>
        <w:drawing>
          <wp:inline xmlns:a="http://schemas.openxmlformats.org/drawingml/2006/main" xmlns:pic="http://schemas.openxmlformats.org/drawingml/2006/picture">
            <wp:extent cx="5486400" cy="7876248"/>
            <wp:docPr id="1" name="Picture 1"/>
            <wp:cNvGraphicFramePr>
              <a:graphicFrameLocks noChangeAspect="1"/>
            </wp:cNvGraphicFramePr>
            <a:graphic>
              <a:graphicData uri="http://schemas.openxmlformats.org/drawingml/2006/picture">
                <pic:pic>
                  <pic:nvPicPr>
                    <pic:cNvPr id="0" name="poc_20260715_112135.jpg"/>
                    <pic:cNvPicPr/>
                  </pic:nvPicPr>
                  <pic:blipFill>
                    <a:blip r:embed="rId11"/>
                    <a:stretch>
                      <a:fillRect/>
                    </a:stretch>
                  </pic:blipFill>
                  <pic:spPr>
                    <a:xfrm>
                      <a:off x="0" y="0"/>
                      <a:ext cx="5486400" cy="7876248"/>
                    </a:xfrm>
                    <a:prstGeom prst="rect"/>
                  </pic:spPr>
                </pic:pic>
              </a:graphicData>
            </a:graphic>
          </wp:inline>
        </w:drawing>
      </w:r>
    </w:p>
    <w:p>
      <w:pPr>
        <w:spacing w:line="276" w:lineRule="auto" w:before="160" w:after="160"/>
        <w:jc w:val="both"/>
      </w:pPr>
      <w:r>
        <w:rPr>
          <w:rFonts w:ascii="Garamond" w:hAnsi="Garamond"/>
          <w:b/>
          <w:i w:val="0"/>
          <w:sz w:val="22"/>
        </w:rPr>
        <w:t xml:space="preserve">Remediation: </w:t>
      </w:r>
      <w:r>
        <w:rPr>
          <w:rFonts w:ascii="Garamond" w:hAnsi="Garamond"/>
          <w:b w:val="0"/>
          <w:i w:val="0"/>
          <w:sz w:val="22"/>
        </w:rPr>
        <w:t>1. Remove 'unsafe-inline' and 'unsafe-eval' from script-src.</w:t>
        <w:br/>
        <w:br/>
        <w:t>2. Use CSP nonce or hashes for inline scripts.</w:t>
        <w:br/>
        <w:br/>
        <w:t>3. Avoid wildcard sources (*) in directives.</w:t>
      </w:r>
    </w:p>
    <w:p>
      <w:pPr>
        <w:spacing w:before="160" w:after="160"/>
        <w:jc w:val="both"/>
      </w:pPr>
      <w:r>
        <w:rPr>
          <w:rFonts w:ascii="Garamond" w:hAnsi="Garamond"/>
          <w:b/>
          <w:i w:val="0"/>
          <w:sz w:val="22"/>
        </w:rPr>
        <w:t xml:space="preserve">Reference: </w:t>
      </w:r>
      <w:r>
        <w:rPr>
          <w:rFonts w:ascii="Garamond" w:hAnsi="Garamond"/>
          <w:b w:val="0"/>
          <w:i w:val="0"/>
          <w:sz w:val="22"/>
        </w:rPr>
        <w:t>https://cheatsheetseries.owasp.org/cheatsheets/Content_Security_Policy_Cheat_Sheet.html</w:t>
      </w:r>
    </w:p>
    <w:p>
      <w:pPr>
        <w:spacing w:before="120" w:after="240"/>
        <w:pBdr>
          <w:bottom w:val="single" w:sz="6" w:space="1" w:color="BFBFBF"/>
        </w:pBdr>
      </w:pPr>
    </w:p>
    <w:p>
      <w:r>
        <w:br w:type="page"/>
      </w:r>
    </w:p>
    <w:p>
      <w:pPr>
        <w:pStyle w:val="Heading1"/>
      </w:pPr>
      <w:r>
        <w:t>5. Web OWASP Top 10</w:t>
      </w:r>
    </w:p>
    <w:tbl>
      <w:tblPr>
        <w:tblW w:type="auto" w:w="0"/>
        <w:tblLook w:firstColumn="1" w:firstRow="1" w:lastColumn="0" w:lastRow="0" w:noHBand="0" w:noVBand="1" w:val="04A0"/>
      </w:tblPr>
      <w:tblGrid>
        <w:gridCol w:w="4860"/>
        <w:gridCol w:w="4860"/>
      </w:tblGrid>
      <w:tr>
        <w:trPr>
          <w:cantSplit/>
        </w:trPr>
        <w:tc>
          <w:tcPr>
            <w:tcW w:type="dxa" w:w="486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shd w:val="clear" w:color="auto" w:fill="002060"/>
          </w:tcPr>
          <w:p>
            <w:r>
              <w:rPr>
                <w:rFonts w:ascii="Garamond" w:hAnsi="Garamond"/>
                <w:b/>
                <w:i w:val="0"/>
                <w:color w:val="FFFFFF"/>
                <w:sz w:val="20"/>
              </w:rPr>
              <w:t>OWASP Top 10-2025</w:t>
            </w:r>
          </w:p>
        </w:tc>
        <w:tc>
          <w:tcPr>
            <w:tcW w:type="dxa" w:w="486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shd w:val="clear" w:color="auto" w:fill="002060"/>
          </w:tcPr>
          <w:p>
            <w:pPr>
              <w:jc w:val="center"/>
            </w:pPr>
            <w:r>
              <w:rPr>
                <w:rFonts w:ascii="Garamond" w:hAnsi="Garamond"/>
                <w:b/>
                <w:i w:val="0"/>
                <w:color w:val="FFFFFF"/>
                <w:sz w:val="20"/>
              </w:rPr>
              <w:t>Performed</w:t>
            </w:r>
          </w:p>
        </w:tc>
      </w:tr>
      <w:tr>
        <w:trPr>
          <w:cantSplit/>
        </w:trPr>
        <w:tc>
          <w:tcPr>
            <w:tcW w:type="dxa" w:w="486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r>
              <w:rPr>
                <w:rFonts w:ascii="Garamond" w:hAnsi="Garamond"/>
                <w:b w:val="0"/>
                <w:i w:val="0"/>
                <w:color w:val="000000"/>
                <w:sz w:val="20"/>
              </w:rPr>
              <w:t>A01:2025 - Broken Access Control</w:t>
            </w:r>
          </w:p>
        </w:tc>
        <w:tc>
          <w:tcPr>
            <w:tcW w:type="dxa" w:w="486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0"/>
              </w:rPr>
              <w:t>✓</w:t>
            </w:r>
          </w:p>
        </w:tc>
      </w:tr>
      <w:tr>
        <w:trPr>
          <w:cantSplit/>
        </w:trPr>
        <w:tc>
          <w:tcPr>
            <w:tcW w:type="dxa" w:w="486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r>
              <w:rPr>
                <w:rFonts w:ascii="Garamond" w:hAnsi="Garamond"/>
                <w:b w:val="0"/>
                <w:i w:val="0"/>
                <w:color w:val="000000"/>
                <w:sz w:val="20"/>
              </w:rPr>
              <w:t>A02:2025 - Security Misconfiguration</w:t>
            </w:r>
          </w:p>
        </w:tc>
        <w:tc>
          <w:tcPr>
            <w:tcW w:type="dxa" w:w="486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0"/>
              </w:rPr>
              <w:t>✓</w:t>
            </w:r>
          </w:p>
        </w:tc>
      </w:tr>
      <w:tr>
        <w:trPr>
          <w:cantSplit/>
        </w:trPr>
        <w:tc>
          <w:tcPr>
            <w:tcW w:type="dxa" w:w="486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r>
              <w:rPr>
                <w:rFonts w:ascii="Garamond" w:hAnsi="Garamond"/>
                <w:b w:val="0"/>
                <w:i w:val="0"/>
                <w:color w:val="000000"/>
                <w:sz w:val="20"/>
              </w:rPr>
              <w:t>A03:2025 - Software Supply Chain Failures</w:t>
            </w:r>
          </w:p>
        </w:tc>
        <w:tc>
          <w:tcPr>
            <w:tcW w:type="dxa" w:w="486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0"/>
              </w:rPr>
              <w:t>N/A</w:t>
            </w:r>
          </w:p>
        </w:tc>
      </w:tr>
      <w:tr>
        <w:trPr>
          <w:cantSplit/>
        </w:trPr>
        <w:tc>
          <w:tcPr>
            <w:tcW w:type="dxa" w:w="486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r>
              <w:rPr>
                <w:rFonts w:ascii="Garamond" w:hAnsi="Garamond"/>
                <w:b w:val="0"/>
                <w:i w:val="0"/>
                <w:color w:val="000000"/>
                <w:sz w:val="20"/>
              </w:rPr>
              <w:t>A04:2025 - Cryptographic Failures</w:t>
            </w:r>
          </w:p>
        </w:tc>
        <w:tc>
          <w:tcPr>
            <w:tcW w:type="dxa" w:w="486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0"/>
              </w:rPr>
              <w:t>✓</w:t>
            </w:r>
          </w:p>
        </w:tc>
      </w:tr>
      <w:tr>
        <w:trPr>
          <w:cantSplit/>
        </w:trPr>
        <w:tc>
          <w:tcPr>
            <w:tcW w:type="dxa" w:w="486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r>
              <w:rPr>
                <w:rFonts w:ascii="Garamond" w:hAnsi="Garamond"/>
                <w:b w:val="0"/>
                <w:i w:val="0"/>
                <w:color w:val="000000"/>
                <w:sz w:val="20"/>
              </w:rPr>
              <w:t>A05:2025 - Injection</w:t>
            </w:r>
          </w:p>
        </w:tc>
        <w:tc>
          <w:tcPr>
            <w:tcW w:type="dxa" w:w="486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0"/>
              </w:rPr>
              <w:t>✓</w:t>
            </w:r>
          </w:p>
        </w:tc>
      </w:tr>
      <w:tr>
        <w:trPr>
          <w:cantSplit/>
        </w:trPr>
        <w:tc>
          <w:tcPr>
            <w:tcW w:type="dxa" w:w="486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r>
              <w:rPr>
                <w:rFonts w:ascii="Garamond" w:hAnsi="Garamond"/>
                <w:b w:val="0"/>
                <w:i w:val="0"/>
                <w:color w:val="000000"/>
                <w:sz w:val="20"/>
              </w:rPr>
              <w:t>A06:2025 - Insecure Design</w:t>
            </w:r>
          </w:p>
        </w:tc>
        <w:tc>
          <w:tcPr>
            <w:tcW w:type="dxa" w:w="486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0"/>
              </w:rPr>
              <w:t>✓</w:t>
            </w:r>
          </w:p>
        </w:tc>
      </w:tr>
      <w:tr>
        <w:trPr>
          <w:cantSplit/>
        </w:trPr>
        <w:tc>
          <w:tcPr>
            <w:tcW w:type="dxa" w:w="486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r>
              <w:rPr>
                <w:rFonts w:ascii="Garamond" w:hAnsi="Garamond"/>
                <w:b w:val="0"/>
                <w:i w:val="0"/>
                <w:color w:val="000000"/>
                <w:sz w:val="20"/>
              </w:rPr>
              <w:t>A07:2025 - Authentication Failures</w:t>
            </w:r>
          </w:p>
        </w:tc>
        <w:tc>
          <w:tcPr>
            <w:tcW w:type="dxa" w:w="486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0"/>
              </w:rPr>
              <w:t>N/A</w:t>
            </w:r>
          </w:p>
        </w:tc>
      </w:tr>
      <w:tr>
        <w:trPr>
          <w:cantSplit/>
        </w:trPr>
        <w:tc>
          <w:tcPr>
            <w:tcW w:type="dxa" w:w="486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r>
              <w:rPr>
                <w:rFonts w:ascii="Garamond" w:hAnsi="Garamond"/>
                <w:b w:val="0"/>
                <w:i w:val="0"/>
                <w:color w:val="000000"/>
                <w:sz w:val="20"/>
              </w:rPr>
              <w:t>A08:2025 - Software or Data Integrity Failures</w:t>
            </w:r>
          </w:p>
        </w:tc>
        <w:tc>
          <w:tcPr>
            <w:tcW w:type="dxa" w:w="486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0"/>
              </w:rPr>
              <w:t>N/A</w:t>
            </w:r>
          </w:p>
        </w:tc>
      </w:tr>
      <w:tr>
        <w:trPr>
          <w:cantSplit/>
        </w:trPr>
        <w:tc>
          <w:tcPr>
            <w:tcW w:type="dxa" w:w="486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r>
              <w:rPr>
                <w:rFonts w:ascii="Garamond" w:hAnsi="Garamond"/>
                <w:b w:val="0"/>
                <w:i w:val="0"/>
                <w:color w:val="000000"/>
                <w:sz w:val="20"/>
              </w:rPr>
              <w:t>A09:2025 - Security Logging and Alerting Failures</w:t>
            </w:r>
          </w:p>
        </w:tc>
        <w:tc>
          <w:tcPr>
            <w:tcW w:type="dxa" w:w="486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0"/>
              </w:rPr>
              <w:t>N/A</w:t>
            </w:r>
          </w:p>
        </w:tc>
      </w:tr>
      <w:tr>
        <w:trPr>
          <w:cantSplit/>
        </w:trPr>
        <w:tc>
          <w:tcPr>
            <w:tcW w:type="dxa" w:w="486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r>
              <w:rPr>
                <w:rFonts w:ascii="Garamond" w:hAnsi="Garamond"/>
                <w:b w:val="0"/>
                <w:i w:val="0"/>
                <w:color w:val="000000"/>
                <w:sz w:val="20"/>
              </w:rPr>
              <w:t>A10:2025 - Mishandling of Exceptional Conditions</w:t>
            </w:r>
          </w:p>
        </w:tc>
        <w:tc>
          <w:tcPr>
            <w:tcW w:type="dxa" w:w="4860"/>
            <w:tcBorders>
              <w:top w:val="single" w:sz="4" w:space="0" w:color="000000"/>
              <w:left w:val="single" w:sz="4" w:space="0" w:color="000000"/>
              <w:bottom w:val="single" w:sz="4" w:space="0" w:color="000000"/>
              <w:right w:val="single" w:sz="4" w:space="0" w:color="000000"/>
            </w:tcBorders>
            <w:tcMar>
              <w:top w:w="60" w:type="dxa"/>
              <w:bottom w:w="60" w:type="dxa"/>
              <w:left w:w="100" w:type="dxa"/>
              <w:right w:w="100" w:type="dxa"/>
            </w:tcMar>
          </w:tcPr>
          <w:p>
            <w:pPr>
              <w:jc w:val="center"/>
            </w:pPr>
            <w:r>
              <w:rPr>
                <w:rFonts w:ascii="Garamond" w:hAnsi="Garamond"/>
                <w:b w:val="0"/>
                <w:i w:val="0"/>
                <w:color w:val="000000"/>
                <w:sz w:val="20"/>
              </w:rPr>
              <w:t>✓</w:t>
            </w:r>
          </w:p>
        </w:tc>
      </w:tr>
    </w:tbl>
    <w:p>
      <w:r>
        <w:br w:type="page"/>
      </w:r>
    </w:p>
    <w:p>
      <w:pPr>
        <w:pStyle w:val="Heading1"/>
      </w:pPr>
      <w:r>
        <w:t>6. Appendix</w:t>
      </w:r>
    </w:p>
    <w:p>
      <w:r>
        <w:rPr>
          <w:rFonts w:ascii="Garamond" w:hAnsi="Garamond"/>
          <w:b w:val="0"/>
          <w:i/>
          <w:sz w:val="22"/>
        </w:rPr>
        <w:t>Appendix section - Non-vulnerable test cases</w:t>
      </w:r>
    </w:p>
    <w:sectPr w:rsidR="00FC693F" w:rsidRPr="0006063C" w:rsidSect="00034616">
      <w:headerReference w:type="default" r:id="rId9"/>
      <w:footerReference w:type="default" r:id="rId10"/>
      <w:pgSz w:w="12240" w:h="15840"/>
      <w:pgMar w:top="1440" w:right="1080" w:bottom="810" w:left="1440" w:header="864" w:footer="576" w:gutter="0"/>
      <w:cols w:space="720"/>
      <w:docGrid w:linePitch="360"/>
      <w:pgBorders w:offsetFrom="page">
        <w:top w:val="single" w:sz="18" w:space="24" w:color="002060"/>
        <w:left w:val="single" w:sz="18" w:space="24" w:color="002060"/>
        <w:bottom w:val="single" w:sz="18" w:space="24" w:color="002060"/>
        <w:right w:val="single" w:sz="18" w:space="24" w:color="00206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8" w:space="4" w:color="8EA9DB"/>
      </w:pBdr>
      <w:spacing w:after="80"/>
    </w:pPr>
    <w:r/>
    <w:r>
      <w:rPr>
        <w:rFonts w:ascii="Garamond" w:hAnsi="Garamond"/>
        <w:b/>
        <w:i w:val="0"/>
        <w:color w:val="000000"/>
        <w:sz w:val="18"/>
      </w:rPr>
      <w:t>CERT-In Empaneled IT Security Auditing Organization</w:t>
    </w:r>
  </w:p>
  <w:tbl>
    <w:tblPr>
      <w:tblW w:type="auto" w:w="0"/>
      <w:tblLayout w:type="fixed"/>
      <w:tblLook w:firstColumn="1" w:firstRow="1" w:lastColumn="0" w:lastRow="0" w:noHBand="0" w:noVBand="1" w:val="04A0"/>
    </w:tblPr>
    <w:tblGrid>
      <w:gridCol w:w="7776"/>
      <w:gridCol w:w="1944"/>
    </w:tblGrid>
    <w:tr>
      <w:tc>
        <w:tcPr>
          <w:tcW w:type="dxa" w:w="7776"/>
          <w:tcBorders>
            <w:top w:val="nil"/>
            <w:left w:val="nil"/>
            <w:bottom w:val="nil"/>
            <w:right w:val="nil"/>
          </w:tcBorders>
          <w:tcMar>
            <w:top w:w="20" w:type="dxa"/>
            <w:bottom w:w="0" w:type="dxa"/>
            <w:left w:w="0" w:type="dxa"/>
            <w:right w:w="0" w:type="dxa"/>
          </w:tcMar>
          <w:vAlign w:val="center"/>
        </w:tcPr>
        <w:p>
          <w:pPr>
            <w:jc w:val="left"/>
          </w:pPr>
          <w:r>
            <w:rPr>
              <w:rFonts w:ascii="Garamond" w:hAnsi="Garamond"/>
              <w:b w:val="0"/>
              <w:i w:val="0"/>
              <w:color w:val="000000"/>
              <w:sz w:val="16"/>
            </w:rPr>
            <w:t>Classification: Confidential</w:t>
          </w:r>
          <w:r>
            <w:rPr>
              <w:rFonts w:ascii="Garamond" w:hAnsi="Garamond"/>
              <w:b w:val="0"/>
              <w:i w:val="0"/>
              <w:color w:val="000000"/>
              <w:sz w:val="16"/>
            </w:rPr>
            <w:t xml:space="preserve">      www.protechmanize.com</w:t>
          </w:r>
        </w:p>
      </w:tc>
      <w:tc>
        <w:tcPr>
          <w:tcW w:type="dxa" w:w="1944"/>
          <w:tcBorders>
            <w:top w:val="nil"/>
            <w:left w:val="nil"/>
            <w:bottom w:val="nil"/>
            <w:right w:val="nil"/>
          </w:tcBorders>
          <w:tcMar>
            <w:top w:w="20" w:type="dxa"/>
            <w:bottom w:w="0" w:type="dxa"/>
            <w:left w:w="0" w:type="dxa"/>
            <w:right w:w="0" w:type="dxa"/>
          </w:tcMar>
          <w:vAlign w:val="center"/>
        </w:tcPr>
        <w:p>
          <w:pPr>
            <w:jc w:val="right"/>
          </w:pPr>
          <w:r>
            <w:rPr>
              <w:rFonts w:ascii="Garamond" w:hAnsi="Garamond"/>
              <w:b/>
              <w:i w:val="0"/>
              <w:color w:val="000000"/>
              <w:sz w:val="18"/>
            </w:rPr>
            <w:t xml:space="preserve">Page </w:t>
          </w:r>
          <w:r>
            <w:rPr>
              <w:rFonts w:ascii="Garamond" w:hAnsi="Garamond"/>
              <w:b/>
              <w:i w:val="0"/>
              <w:color w:val="000000"/>
              <w:sz w:val="18"/>
            </w:rPr>
            <w:fldChar w:fldCharType="begin"/>
            <w:instrText xml:space="preserve">PAGE</w:instrText>
            <w:fldChar w:fldCharType="end"/>
          </w:r>
          <w:r>
            <w:rPr>
              <w:rFonts w:ascii="Garamond" w:hAnsi="Garamond"/>
              <w:b/>
              <w:i w:val="0"/>
              <w:color w:val="000000"/>
              <w:sz w:val="18"/>
            </w:rPr>
            <w:t xml:space="preserve"> of </w:t>
          </w:r>
          <w:r>
            <w:rPr>
              <w:rFonts w:ascii="Garamond" w:hAnsi="Garamond"/>
              <w:b/>
              <w:i w:val="0"/>
              <w:color w:val="000000"/>
              <w:sz w:val="18"/>
            </w:rPr>
            <w:fldChar w:fldCharType="begin"/>
            <w:instrText xml:space="preserve">NUMPAGES</w:instrText>
            <w:fldChar w:fldCharType="end"/>
          </w:r>
        </w:p>
      </w:tc>
    </w:tr>
  </w:tbl>
  <w:p>
    <w:pPr>
      <w:spacing w:before="0"/>
      <w:jc w:val="center"/>
    </w:pPr>
    <w:r>
      <w:rPr>
        <w:rFonts w:ascii="Garamond" w:hAnsi="Garamond"/>
        <w:b w:val="0"/>
        <w:i w:val="0"/>
        <w:color w:val="0563C1"/>
        <w:sz w:val="16"/>
        <w:u w:val="single"/>
      </w:rPr>
      <w:t>www.protechmanize.com</w:t>
    </w:r>
  </w:p>
  <w:p>
    <w:r>
      <w:pict>
        <v:rect id="BottomNavyBar" o:spid="_x0000_s9999" style="position:absolute;margin-left:0;margin-top:0;width:612.00pt;height:28pt;z-index:-251650000;mso-position-horizontal:center;mso-position-horizontal-relative:page;mso-position-vertical:bottom;mso-position-vertical-relative:page" fillcolor="#002060" stroked="f" o:allowincell="f">
          <w10:wrap anchorx="page" anchory="page"/>
        </v:rect>
      </w:pic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pict>
        <v:shapetype id="_x0000_t75" coordsize="21600,21600" o:spt="75" filled="f" stroked="f"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Picture01" o:spid="_x0000_s2050" type="#_x0000_t75" style="position:absolute;margin-left:0;margin-top:0;width:275.40pt;height:275.40pt;z-index:-251650048;mso-position-horizontal:center;mso-position-horizontal-relative:page;mso-position-vertical:center;mso-position-vertical-relative:page" o:allowincell="f">
          <v:imagedata r:id="rId2" o:title="watermark" gain="19661f" blacklevel="22938f"/>
          <w10:wrap anchorx="page" anchory="page"/>
        </v:shape>
      </w:pict>
    </w:r>
  </w:p>
  <w:tbl>
    <w:tblPr>
      <w:tblW w:type="auto" w:w="0"/>
      <w:tblLayout w:type="fixed"/>
      <w:tblLook w:firstColumn="1" w:firstRow="1" w:lastColumn="0" w:lastRow="0" w:noHBand="0" w:noVBand="1" w:val="04A0"/>
    </w:tblPr>
    <w:tblGrid>
      <w:gridCol w:w="2138"/>
      <w:gridCol w:w="5443"/>
      <w:gridCol w:w="2138"/>
    </w:tblGrid>
    <w:tr>
      <w:tc>
        <w:tcPr>
          <w:tcW w:type="dxa" w:w="2138"/>
          <w:tcBorders>
            <w:top w:val="nil"/>
            <w:left w:val="nil"/>
            <w:bottom w:val="nil"/>
            <w:right w:val="nil"/>
          </w:tcBorders>
          <w:tcMar>
            <w:top w:w="0" w:type="dxa"/>
            <w:bottom w:w="0" w:type="dxa"/>
            <w:left w:w="0" w:type="dxa"/>
            <w:right w:w="0" w:type="dxa"/>
          </w:tcMar>
          <w:vAlign w:val="center"/>
        </w:tcPr>
        <w:p>
          <w:pPr>
            <w:jc w:val="left"/>
          </w:pPr>
          <w:r>
            <w:drawing>
              <wp:inline xmlns:a="http://schemas.openxmlformats.org/drawingml/2006/main" xmlns:pic="http://schemas.openxmlformats.org/drawingml/2006/picture">
                <wp:extent cx="1066800" cy="381000"/>
                <wp:docPr id="1" name="Picture 1"/>
                <wp:cNvGraphicFramePr>
                  <a:graphicFrameLocks noChangeAspect="1"/>
                </wp:cNvGraphicFramePr>
                <a:graphic>
                  <a:graphicData uri="http://schemas.openxmlformats.org/drawingml/2006/picture">
                    <pic:pic>
                      <pic:nvPicPr>
                        <pic:cNvPr id="0" name="header_logo_default.png"/>
                        <pic:cNvPicPr/>
                      </pic:nvPicPr>
                      <pic:blipFill>
                        <a:blip r:embed="rId1"/>
                        <a:stretch>
                          <a:fillRect/>
                        </a:stretch>
                      </pic:blipFill>
                      <pic:spPr>
                        <a:xfrm>
                          <a:off x="0" y="0"/>
                          <a:ext cx="1066800" cy="381000"/>
                        </a:xfrm>
                        <a:prstGeom prst="rect"/>
                      </pic:spPr>
                    </pic:pic>
                  </a:graphicData>
                </a:graphic>
              </wp:inline>
            </w:drawing>
          </w:r>
        </w:p>
      </w:tc>
      <w:tc>
        <w:tcPr>
          <w:tcW w:type="dxa" w:w="5443"/>
          <w:tcBorders>
            <w:top w:val="nil"/>
            <w:left w:val="nil"/>
            <w:bottom w:val="nil"/>
            <w:right w:val="nil"/>
          </w:tcBorders>
          <w:tcMar>
            <w:top w:w="0" w:type="dxa"/>
            <w:bottom w:w="0" w:type="dxa"/>
            <w:left w:w="0" w:type="dxa"/>
            <w:right w:w="0" w:type="dxa"/>
          </w:tcMar>
          <w:vAlign w:val="center"/>
        </w:tcPr>
        <w:p>
          <w:pPr>
            <w:jc w:val="center"/>
          </w:pPr>
          <w:r>
            <w:rPr>
              <w:rFonts w:ascii="Garamond" w:hAnsi="Garamond"/>
              <w:b w:val="0"/>
              <w:i w:val="0"/>
              <w:sz w:val="26"/>
            </w:rPr>
            <w:t>ECLLLLLLL2</w:t>
          </w:r>
        </w:p>
      </w:tc>
      <w:tc>
        <w:tcPr>
          <w:tcW w:type="dxa" w:w="2138"/>
          <w:tcBorders>
            <w:top w:val="nil"/>
            <w:left w:val="nil"/>
            <w:bottom w:val="nil"/>
            <w:right w:val="nil"/>
          </w:tcBorders>
          <w:tcMar>
            <w:top w:w="0" w:type="dxa"/>
            <w:bottom w:w="0" w:type="dxa"/>
            <w:left w:w="0" w:type="dxa"/>
            <w:right w:w="0" w:type="dxa"/>
          </w:tcMar>
          <w:vAlign w:val="center"/>
        </w:tcPr>
        <w:p>
          <w:pPr>
            <w:jc w:val="right"/>
          </w:pPr>
          <w:r>
            <w:rPr>
              <w:rFonts w:ascii="Garamond" w:hAnsi="Garamond"/>
              <w:b/>
              <w:i w:val="0"/>
              <w:sz w:val="26"/>
            </w:rPr>
            <w:t>15-07-2026</w:t>
          </w:r>
        </w:p>
      </w:tc>
    </w:tr>
  </w:tbl>
  <w:p>
    <w:pPr>
      <w:spacing w:before="80"/>
      <w:pBdr>
        <w:bottom w:val="single" w:sz="18" w:space="4" w:color="002060"/>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eastAsia="Garamond"/>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eastAsia="Garamond"/>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Bdr>
        <w:bottom w:val="single" w:sz="6" w:space="4" w:color="808080"/>
      </w:pBdr>
      <w:spacing w:after="120"/>
    </w:pPr>
    <w:rPr>
      <w:rFonts w:asciiTheme="majorHAnsi" w:eastAsiaTheme="majorEastAsia" w:hAnsiTheme="majorHAnsi" w:cstheme="majorBidi" w:ascii="Garamond" w:hAnsi="Garamond" w:eastAsia="Garamond"/>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Garamond" w:hAnsi="Garamond" w:eastAsia="Garamond"/>
      <w:b/>
      <w:bCs/>
      <w:i w:val="0"/>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Garamond" w:hAnsi="Garamond" w:eastAsia="Garamond"/>
      <w:b/>
      <w:i w:val="0"/>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