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Domain-Specific Question Answering on Indian Policy Corpora using Hybrid Retrieval and a Custom Decoder-Only Transformer</w:t>
      </w:r>
    </w:p>
    <w:p>
      <w:pPr>
        <w:jc w:val="center"/>
      </w:pPr>
      <w:r>
        <w:rPr>
          <w:rFonts w:ascii="Times New Roman" w:hAnsi="Times New Roman"/>
          <w:b/>
          <w:i w:val="0"/>
          <w:sz w:val="24"/>
        </w:rPr>
        <w:t>Krish Saini (230708)</w:t>
      </w:r>
    </w:p>
    <w:p>
      <w:pPr>
        <w:jc w:val="center"/>
      </w:pPr>
      <w:r>
        <w:rPr>
          <w:rFonts w:ascii="Times New Roman" w:hAnsi="Times New Roman"/>
          <w:b w:val="0"/>
          <w:i/>
          <w:sz w:val="22"/>
        </w:rPr>
        <w:t>Mentor: Dr. Atul Mishra</w:t>
      </w:r>
    </w:p>
    <w:p>
      <w:pPr>
        <w:jc w:val="center"/>
      </w:pPr>
      <w:r>
        <w:rPr>
          <w:rFonts w:ascii="Times New Roman" w:hAnsi="Times New Roman"/>
          <w:b w:val="0"/>
          <w:i/>
          <w:sz w:val="22"/>
        </w:rPr>
        <w:t>BML Munjal University — Natural Language Processing Project</w:t>
      </w:r>
    </w:p>
    <w:p/>
    <w:p>
      <w:pPr>
        <w:spacing w:before="280" w:after="120"/>
      </w:pPr>
      <w:r>
        <w:rPr>
          <w:rFonts w:ascii="Times New Roman" w:hAnsi="Times New Roman"/>
          <w:b/>
          <w:i w:val="0"/>
          <w:sz w:val="32"/>
        </w:rPr>
        <w:t>1. Introduction</w:t>
      </w:r>
    </w:p>
    <w:p>
      <w:pPr>
        <w:spacing w:after="160" w:line="360" w:lineRule="auto"/>
        <w:ind w:firstLine="432"/>
        <w:jc w:val="both"/>
      </w:pPr>
      <w:r>
        <w:rPr>
          <w:rFonts w:ascii="Times New Roman" w:hAnsi="Times New Roman"/>
          <w:b w:val="0"/>
          <w:i w:val="0"/>
          <w:sz w:val="22"/>
        </w:rPr>
        <w:t>Government policy documents in India — welfare schemes, entitlement guidelines, operational handbooks — are dense, hundreds of pages long, and written in prose that mixes legal language with tabular data, acronyms, and cross-references. A citizen who wishes to know whether she is eligible for a scheme, what the coverage amount is, or how an appeal is filed has to navigate unstructured PDFs that no search engine understands at the semantic level. The present work addresses this gap by designing a conversational system that ingests such documents, learns a compact domain-specific language model over their vocabulary, and responds to natural-language questions with grounded, citation-backed answers. The work therefore sits at the intersection of information retrieval, neural language modelling, and human-computer interaction, and is framed as a retrieval-augmented generation (RAG) pipeline whose internal components are implemented, trained, and evaluated end-to-end.</w:t>
      </w:r>
    </w:p>
    <w:p>
      <w:pPr>
        <w:spacing w:after="160" w:line="360" w:lineRule="auto"/>
        <w:ind w:firstLine="432"/>
        <w:jc w:val="both"/>
      </w:pPr>
      <w:r>
        <w:rPr>
          <w:rFonts w:ascii="Times New Roman" w:hAnsi="Times New Roman"/>
          <w:b w:val="0"/>
          <w:i w:val="0"/>
          <w:sz w:val="22"/>
        </w:rPr>
        <w:t>The objective of the study is three-fold. First, we propose a retrieval architecture that combines lexical scoring with learned dense representations and a cross-encoder reranker, and we investigate whether such a hybrid formulation outperforms classical and purely neural baselines on a domain characterised by heavy acronym usage and specialised terminology. Second, we develop a decoder-only Transformer language model from scratch in PyTorch, together with a Byte-Pair Encoding tokenizer trained on the same domain corpus, so that the language modelling component is not a black box but a documented, fully reproducible artefact. Third, we compare the behaviour of our retrieval stack against strong single-representation baselines using standard ranking metrics, and we benchmark the answering pipeline on a human-curated question-answering dataset derived from the same documents.</w:t>
      </w:r>
    </w:p>
    <w:p>
      <w:pPr>
        <w:spacing w:after="160" w:line="360" w:lineRule="auto"/>
        <w:ind w:firstLine="432"/>
        <w:jc w:val="both"/>
      </w:pPr>
      <w:r>
        <w:rPr>
          <w:rFonts w:ascii="Times New Roman" w:hAnsi="Times New Roman"/>
          <w:b w:val="0"/>
          <w:i w:val="0"/>
          <w:sz w:val="22"/>
        </w:rPr>
        <w:t>The significance of the study lies in its practical and pedagogical dimensions. Practically, an open-source grounded question-answering system over policy documents can shorten the distance between citizens and the welfare programmes that are meant to serve them, particularly when localisation to Indian English and scheme-specific jargon is critical. Pedagogically, training a Transformer from scratch on a modest domain corpus exposes the non-trivial trade-offs between model capacity, tokenizer design, and training-data volume, which are usually hidden when practitioners fine-tune large off-the-shelf models. The system is also extensible: a user can upload an arbitrary PDF at inference time and converse with it through the same pipeline, which demonstrates that the approach generalises beyond the three policy documents used during development.</w:t>
      </w:r>
    </w:p>
    <w:p>
      <w:pPr>
        <w:spacing w:after="160" w:line="360" w:lineRule="auto"/>
        <w:ind w:firstLine="432"/>
        <w:jc w:val="both"/>
      </w:pPr>
      <w:r>
        <w:rPr>
          <w:rFonts w:ascii="Times New Roman" w:hAnsi="Times New Roman"/>
          <w:b w:val="0"/>
          <w:i w:val="0"/>
          <w:sz w:val="22"/>
        </w:rPr>
        <w:t>The problem is challenging for several reasons. Policy PDFs are machine-unfriendly: pagination artefacts, running headers and footers, multi-column layouts, and scanned tables degrade naive text extraction. The vocabulary is heavy with acronyms such as PMJAY, AB-NHPM, PMKVY, and SECC that general-purpose sentence encoders have never observed during pre-training, so dense retrieval is unusually brittle on this domain. Question answering against such documents further requires faithfulness — the generated answer must be traceable to an identifiable chunk — which cannot be guaranteed by a free-form language model. Finally, training a Transformer from scratch on only a few hundred thousand tokens is a fundamentally capacity-constrained setting, and bridging the gap between what a small model can fluently generate and what a user actually expects to read is itself a research question.</w:t>
      </w:r>
    </w:p>
    <w:p>
      <w:pPr>
        <w:spacing w:after="160" w:line="360" w:lineRule="auto"/>
        <w:ind w:firstLine="432"/>
        <w:jc w:val="both"/>
      </w:pPr>
      <w:r>
        <w:rPr>
          <w:rFonts w:ascii="Times New Roman" w:hAnsi="Times New Roman"/>
          <w:b w:val="0"/>
          <w:i w:val="0"/>
          <w:sz w:val="22"/>
        </w:rPr>
        <w:t>Our proposed solution is a four-stage pipeline. Source PDFs are first ingested into section-aware, page-tagged chunks with deterministic identifiers. At query time, a hybrid retriever performs min-max score fusion between BM25 and dense sentence-transformer cosine scores, producing a candidate pool that is subsequently rescored by a cross-encoder reranker to yield a compact top-k passage set. A custom decoder-only Transformer, trained on a concatenation of chunk text and question-answer pairs over a domain-specific BPE vocabulary, models the policy language itself and is the centrepiece of the research contribution. A lightweight synthesis layer then composes the retrieved chunks into a final direct answer that is returned to the user along with chunk identifiers, document names, and per-sentence faithfulness scores that flag any statement not traceable to the retrieved evidence.</w:t>
      </w:r>
    </w:p>
    <w:p>
      <w:pPr>
        <w:spacing w:after="160" w:line="360" w:lineRule="auto"/>
        <w:ind w:firstLine="432"/>
        <w:jc w:val="both"/>
      </w:pPr>
      <w:r>
        <w:rPr>
          <w:rFonts w:ascii="Times New Roman" w:hAnsi="Times New Roman"/>
          <w:b w:val="0"/>
          <w:i w:val="0"/>
          <w:sz w:val="22"/>
        </w:rPr>
        <w:t>The remainder of the paper is organised as follows. Section 2 reviews the relevant literature in sparse retrieval, dense retrieval, cross-encoder reranking, decoder-only Transformers, and grounded question answering, and it situates the present work with respect to three widely used benchmarks. Section 3 describes the methodology, including the end-to-end system diagram, the mathematical formulation of each retrieval stage, and the architectural specification of the custom Transformer language model. Section 4 presents the experimental results on both retrieval quality and answer quality, and compares them against published baselines from the literature review. Section 5 concludes with a discussion of findings, limitations, and directions for future work.</w:t>
      </w:r>
    </w:p>
    <w:p>
      <w:pPr>
        <w:spacing w:before="280" w:after="120"/>
      </w:pPr>
      <w:r>
        <w:rPr>
          <w:rFonts w:ascii="Times New Roman" w:hAnsi="Times New Roman"/>
          <w:b/>
          <w:i w:val="0"/>
          <w:sz w:val="32"/>
        </w:rPr>
        <w:t>2. Literature Review</w:t>
      </w:r>
    </w:p>
    <w:p>
      <w:pPr>
        <w:spacing w:after="160" w:line="360" w:lineRule="auto"/>
        <w:ind w:firstLine="432"/>
        <w:jc w:val="both"/>
      </w:pPr>
      <w:r>
        <w:rPr>
          <w:rFonts w:ascii="Times New Roman" w:hAnsi="Times New Roman"/>
          <w:b w:val="0"/>
          <w:i w:val="0"/>
          <w:sz w:val="22"/>
        </w:rPr>
        <w:t>Retrieval-augmented generation, grounded question answering, and domain-specific language modelling each carry an established body of prior work, and the present study draws on all three. This section surveys the algorithms, models, and datasets that form the intellectual backdrop of our pipeline, and it highlights the design choices in the literature that we either adopt directly or depart from in response to the peculiarities of the policy-document domain. We concentrate on five algorithmic lines of work — BM25, dense bi-encoders, cross-encoder rerankers, decoder-only Transformers, and retrieval-augmented generation — and on three benchmark datasets that recur across these lines, namely MS MARCO, Natural Questions, and SQuAD.</w:t>
      </w:r>
    </w:p>
    <w:p>
      <w:pPr>
        <w:spacing w:after="160" w:line="360" w:lineRule="auto"/>
        <w:ind w:firstLine="432"/>
        <w:jc w:val="both"/>
      </w:pPr>
      <w:r>
        <w:rPr>
          <w:rFonts w:ascii="Times New Roman" w:hAnsi="Times New Roman"/>
          <w:b w:val="0"/>
          <w:i w:val="0"/>
          <w:sz w:val="22"/>
        </w:rPr>
        <w:t xml:space="preserve">BM25, introduced by Robertson and colleagues and refined in the Okapi family, remains the default lexical baseline in information retrieval and is remarkably hard to beat on domains with distinctive vocabulary. It combines term-frequency saturation with length normalisation and an inverse-document-frequency weighting, and it requires no learned parameters, which makes it an ideal first baseline when the corpus is small or the vocabulary is specialised. The rank_bm25 implementation used here follows the original Okapi formulation, and the behaviour we observe on policy text — namely, that BM25 dominates dense retrieval on acronym-heavy queries such as </w:t>
      </w:r>
      <w:r>
        <w:rPr>
          <w:rFonts w:ascii="Times New Roman" w:hAnsi="Times New Roman"/>
          <w:b w:val="0"/>
          <w:i/>
          <w:sz w:val="22"/>
        </w:rPr>
        <w:t>"PMJAY eligibility"</w:t>
      </w:r>
      <w:r>
        <w:rPr>
          <w:rFonts w:ascii="Times New Roman" w:hAnsi="Times New Roman"/>
          <w:b w:val="0"/>
          <w:i w:val="0"/>
          <w:sz w:val="22"/>
        </w:rPr>
        <w:t xml:space="preserve"> — is consistent with reports in the literature that sparse retrieval is especially strong when exact-match cues are informative. BM25 is also the retrieval backbone against which dense methods are most frequently compared on the MS MARCO passage-ranking benchmark, where it provides a well-understood lower bound.</w:t>
      </w:r>
    </w:p>
    <w:p>
      <w:pPr>
        <w:spacing w:after="160" w:line="360" w:lineRule="auto"/>
        <w:ind w:firstLine="432"/>
        <w:jc w:val="both"/>
      </w:pPr>
      <w:r>
        <w:rPr>
          <w:rFonts w:ascii="Times New Roman" w:hAnsi="Times New Roman"/>
          <w:b w:val="0"/>
          <w:i w:val="0"/>
          <w:sz w:val="22"/>
        </w:rPr>
        <w:t xml:space="preserve">Dense bi-encoder retrieval, popularised by Dense Passage Retrieval and subsequently by Sentence-BERT and its descendants, encodes the query and the passage into a fixed-dimensional vector space and scores by inner product or cosine similarity. We adopt the </w:t>
      </w:r>
      <w:r>
        <w:rPr>
          <w:rFonts w:ascii="Consolas" w:hAnsi="Consolas"/>
          <w:b w:val="0"/>
          <w:i w:val="0"/>
          <w:sz w:val="20"/>
        </w:rPr>
        <w:t>sentence-transformers/all-MiniLM-L6-v2</w:t>
      </w:r>
      <w:r>
        <w:rPr>
          <w:rFonts w:ascii="Times New Roman" w:hAnsi="Times New Roman"/>
          <w:b w:val="0"/>
          <w:i w:val="0"/>
          <w:sz w:val="22"/>
        </w:rPr>
        <w:t xml:space="preserve"> model, a 22-million-parameter distilled encoder that produces 384-dimensional embeddings and has been shown to approximate the retrieval quality of much larger encoders at a fraction of the inference cost. Dense retrieval typically shines when the surface vocabulary of the query and the passage diverge — for instance, a user asking </w:t>
      </w:r>
      <w:r>
        <w:rPr>
          <w:rFonts w:ascii="Times New Roman" w:hAnsi="Times New Roman"/>
          <w:b w:val="0"/>
          <w:i/>
          <w:sz w:val="22"/>
        </w:rPr>
        <w:t>"how much money does the government give"</w:t>
      </w:r>
      <w:r>
        <w:rPr>
          <w:rFonts w:ascii="Times New Roman" w:hAnsi="Times New Roman"/>
          <w:b w:val="0"/>
          <w:i w:val="0"/>
          <w:sz w:val="22"/>
        </w:rPr>
        <w:t xml:space="preserve"> and a passage that actually says </w:t>
      </w:r>
      <w:r>
        <w:rPr>
          <w:rFonts w:ascii="Times New Roman" w:hAnsi="Times New Roman"/>
          <w:b w:val="0"/>
          <w:i/>
          <w:sz w:val="22"/>
        </w:rPr>
        <w:t>"the benefit coverage will be Rs. 5,00,000/- per family per annum"</w:t>
      </w:r>
      <w:r>
        <w:rPr>
          <w:rFonts w:ascii="Times New Roman" w:hAnsi="Times New Roman"/>
          <w:b w:val="0"/>
          <w:i w:val="0"/>
          <w:sz w:val="22"/>
        </w:rPr>
        <w:t>. The empirical observation that dense retrieval underperforms on our corpus despite this theoretical advantage is itself a notable finding, and we trace it to the distributional mismatch between the general-purpose pre-training corpus of MiniLM and the Indian policy register.</w:t>
      </w:r>
    </w:p>
    <w:p>
      <w:pPr>
        <w:spacing w:after="160" w:line="360" w:lineRule="auto"/>
        <w:ind w:firstLine="432"/>
        <w:jc w:val="both"/>
      </w:pPr>
      <w:r>
        <w:rPr>
          <w:rFonts w:ascii="Times New Roman" w:hAnsi="Times New Roman"/>
          <w:b w:val="0"/>
          <w:i w:val="0"/>
          <w:sz w:val="22"/>
        </w:rPr>
        <w:t xml:space="preserve">Cross-encoder reranking, as exemplified by the MS MARCO MiniLM cross-encoder family, addresses the well-known precision ceiling of bi-encoder retrieval. Rather than encoding the query and passage independently, a cross-encoder concatenates them and jointly attends to both through a full Transformer forward pass, producing a single relevance score. Because the computation is quadratic in the number of candidates, cross-encoders are used as a second stage that rescores a shortlist produced by a cheap first-stage retriever. We use </w:t>
      </w:r>
      <w:r>
        <w:rPr>
          <w:rFonts w:ascii="Consolas" w:hAnsi="Consolas"/>
          <w:b w:val="0"/>
          <w:i w:val="0"/>
          <w:sz w:val="20"/>
        </w:rPr>
        <w:t>cross-encoder/ms-marco-MiniLM-L-6-v2</w:t>
      </w:r>
      <w:r>
        <w:rPr>
          <w:rFonts w:ascii="Times New Roman" w:hAnsi="Times New Roman"/>
          <w:b w:val="0"/>
          <w:i w:val="0"/>
          <w:sz w:val="22"/>
        </w:rPr>
        <w:t>, which was trained on MS MARCO and is the most widely cited reranker in the open-source retrieval stack. Published results on the same benchmark show that a cross-encoder on top of BM25 can lift nDCG@10 by 10–15 points, which matches the magnitude of improvement we obtain on policy data.</w:t>
      </w:r>
    </w:p>
    <w:p>
      <w:pPr>
        <w:spacing w:after="160" w:line="360" w:lineRule="auto"/>
        <w:ind w:firstLine="432"/>
        <w:jc w:val="both"/>
      </w:pPr>
      <w:r>
        <w:rPr>
          <w:rFonts w:ascii="Times New Roman" w:hAnsi="Times New Roman"/>
          <w:b w:val="0"/>
          <w:i w:val="0"/>
          <w:sz w:val="22"/>
        </w:rPr>
        <w:t xml:space="preserve">Decoder-only Transformers, introduced by the GPT family and described in nanoGPT-style expositions for pedagogical purposes, have become the dominant architecture for generative language modelling. A decoder-only model uses masked self-attention such that position </w:t>
      </w:r>
      <w:r>
        <w:rPr>
          <w:rFonts w:ascii="Times New Roman" w:hAnsi="Times New Roman"/>
          <w:b w:val="0"/>
          <w:i/>
          <w:sz w:val="22"/>
        </w:rPr>
        <w:t>t</w:t>
      </w:r>
      <w:r>
        <w:rPr>
          <w:rFonts w:ascii="Times New Roman" w:hAnsi="Times New Roman"/>
          <w:b w:val="0"/>
          <w:i w:val="0"/>
          <w:sz w:val="22"/>
        </w:rPr>
        <w:t xml:space="preserve"> only attends to positions </w:t>
      </w:r>
      <w:r>
        <w:rPr>
          <w:rFonts w:ascii="Times New Roman" w:hAnsi="Times New Roman"/>
          <w:b w:val="0"/>
          <w:i/>
          <w:sz w:val="22"/>
        </w:rPr>
        <w:t>≤ t</w:t>
      </w:r>
      <w:r>
        <w:rPr>
          <w:rFonts w:ascii="Times New Roman" w:hAnsi="Times New Roman"/>
          <w:b w:val="0"/>
          <w:i w:val="0"/>
          <w:sz w:val="22"/>
        </w:rPr>
        <w:t>, thereby supporting autoregressive generation with a single objective — next-token prediction. Our custom model follows this blueprint closely: token embeddings plus learned positional embeddings feed into a stack of pre-LayerNorm blocks, each containing a masked multi-head self-attention module and a position-wise feed-forward network with a GELU non-linearity, and an output linear layer projects the final hidden state onto the vocabulary. This design, at a smaller scale than GPT-2, lets us reproduce the essential mechanics of modern language models while keeping the parameter count tractable on a student-grade GPU budget.</w:t>
      </w:r>
    </w:p>
    <w:p>
      <w:pPr>
        <w:spacing w:after="160" w:line="360" w:lineRule="auto"/>
        <w:ind w:firstLine="432"/>
        <w:jc w:val="both"/>
      </w:pPr>
      <w:r>
        <w:rPr>
          <w:rFonts w:ascii="Times New Roman" w:hAnsi="Times New Roman"/>
          <w:b w:val="0"/>
          <w:i w:val="0"/>
          <w:sz w:val="22"/>
        </w:rPr>
        <w:t>Retrieval-augmented generation, as formalised by Lewis and colleagues, places a retriever in front of a sequence-to-sequence generator so that generation is conditioned on externally retrieved evidence rather than only on parametric memory. RAG is now the dominant paradigm for grounded question answering because it decouples world knowledge (stored in the retrievable corpus) from linguistic competence (stored in the generator), and because it enables per-answer citation. The present work follows the RAG template and adds two refinements: a hybrid BM25 + dense first stage followed by a cross-encoder reranker, and an explicit faithfulness score that flags any sentence in the generated answer whose lexical content cannot be matched against the retrieved chunks. This last check is adapted from the grounding literature on abstractive summarisation and serves as a lightweight proxy for the full natural-language-inference-based checks used in systems such as TRUE and FactScore.</w:t>
      </w:r>
    </w:p>
    <w:p>
      <w:pPr>
        <w:spacing w:after="160" w:line="360" w:lineRule="auto"/>
        <w:ind w:firstLine="432"/>
        <w:jc w:val="both"/>
      </w:pPr>
      <w:r>
        <w:rPr>
          <w:rFonts w:ascii="Times New Roman" w:hAnsi="Times New Roman"/>
          <w:b w:val="0"/>
          <w:i w:val="0"/>
          <w:sz w:val="22"/>
        </w:rPr>
        <w:t>Among datasets, MS MARCO remains the default proving ground for retrieval research; its passage-ranking split provides over 500,000 queries paired with judged relevance and is the training corpus of most open cross-encoders. Natural Questions, released by Google, supplies real-world information-seeking queries paired with long Wikipedia passages and short answers, and is used to benchmark open-domain question-answering systems such as RAG and FiD. SQuAD, the Stanford Question Answering Dataset, provides extractive question-answer pairs over Wikipedia and is the historical benchmark against which reading-comprehension models such as BERT and its successors were first evaluated. The present work does not use any of these datasets for training; instead, we curate a domain-specific question-answering set of 597 pairs grounded in the three policy PDFs, which allows us to measure both retrieval quality and answer quality directly on the target distribution rather than inferring transfer from generic benchmarks.</w:t>
      </w:r>
    </w:p>
    <w:p>
      <w:pPr>
        <w:spacing w:before="280" w:after="120"/>
      </w:pPr>
      <w:r>
        <w:rPr>
          <w:rFonts w:ascii="Times New Roman" w:hAnsi="Times New Roman"/>
          <w:b/>
          <w:i w:val="0"/>
          <w:sz w:val="32"/>
        </w:rPr>
        <w:t>3. Methodology</w:t>
      </w:r>
    </w:p>
    <w:p>
      <w:pPr>
        <w:spacing w:after="160" w:line="360" w:lineRule="auto"/>
        <w:ind w:firstLine="432"/>
        <w:jc w:val="both"/>
      </w:pPr>
      <w:r>
        <w:rPr>
          <w:rFonts w:ascii="Times New Roman" w:hAnsi="Times New Roman"/>
          <w:b w:val="0"/>
          <w:i w:val="0"/>
          <w:sz w:val="22"/>
        </w:rPr>
        <w:t>This section describes the end-to-end pipeline we designed, implemented, and evaluated. The system is deliberately modular: each stage has a well-defined input, output, and failure mode, so that individual components can be replaced or ablated without perturbing the rest. We begin with an overview diagram and a narrative walkthrough, proceed to the architectural specification of the custom Transformer language model, present the formal scoring equations that govern retrieval and fusion, and conclude with a short summary that highlights the design choices that most influence the observed performance.</w:t>
      </w:r>
    </w:p>
    <w:p>
      <w:pPr>
        <w:spacing w:before="280" w:after="120"/>
      </w:pPr>
      <w:r>
        <w:rPr>
          <w:rFonts w:ascii="Times New Roman" w:hAnsi="Times New Roman"/>
          <w:b/>
          <w:i w:val="0"/>
          <w:sz w:val="26"/>
        </w:rPr>
        <w:t>3.1 System Diagram</w:t>
      </w:r>
    </w:p>
    <w:p>
      <w:pPr>
        <w:spacing w:before="120" w:after="120"/>
        <w:ind w:left="288"/>
      </w:pPr>
      <w:r>
        <w:rPr>
          <w:rFonts w:ascii="Consolas" w:hAnsi="Consolas"/>
          <w:b w:val="0"/>
          <w:i w:val="0"/>
          <w:sz w:val="18"/>
        </w:rPr>
        <w:t xml:space="preserve"> ┌───────────────────────────────────────────────────────────────────────┐</w:t>
        <w:br/>
        <w:t xml:space="preserve"> │                        USER QUERY  (Web UI / API)                     │</w:t>
        <w:br/>
        <w:t xml:space="preserve"> └─────────────────────────────┬─────────────────────────────────────────┘</w:t>
        <w:br/>
        <w:t xml:space="preserve">                               │</w:t>
        <w:br/>
        <w:t xml:space="preserve">                  ┌────────────┴───────────────┐</w:t>
        <w:br/>
        <w:t xml:space="preserve">                  │        INGESTION           │</w:t>
        <w:br/>
        <w:t xml:space="preserve">                  │  PDF → page extraction     │</w:t>
        <w:br/>
        <w:t xml:space="preserve">                  │  → section-aware chunking  │</w:t>
        <w:br/>
        <w:t xml:space="preserve">                  │  → deterministic chunk IDs │</w:t>
        <w:br/>
        <w:t xml:space="preserve">                  │  (offline, one-time)       │</w:t>
        <w:br/>
        <w:t xml:space="preserve">                  └────────────┬───────────────┘</w:t>
        <w:br/>
        <w:t xml:space="preserve">                               │</w:t>
        <w:br/>
        <w:t xml:space="preserve">                               ▼  data/chunks.jsonl</w:t>
        <w:br/>
        <w:t xml:space="preserve">                  ┌────────────────────────────┐</w:t>
        <w:br/>
        <w:t xml:space="preserve">                  │     HYBRID RETRIEVAL       │</w:t>
        <w:br/>
        <w:t xml:space="preserve">                  │  BM25      Dense (MiniLM)  │</w:t>
        <w:br/>
        <w:t xml:space="preserve">                  │    │           │           │</w:t>
        <w:br/>
        <w:t xml:space="preserve">                  │    └──── α-fusion ─────────┤</w:t>
        <w:br/>
        <w:t xml:space="preserve">                  │           │                │</w:t>
        <w:br/>
        <w:t xml:space="preserve">                  │   Cross-Encoder Reranker   │</w:t>
        <w:br/>
        <w:t xml:space="preserve">                  │   (MS-MARCO MiniLM L-6)    │</w:t>
        <w:br/>
        <w:t xml:space="preserve">                  └────────────┬───────────────┘</w:t>
        <w:br/>
        <w:t xml:space="preserve">                               │ top-k chunks</w:t>
        <w:br/>
        <w:t xml:space="preserve">                  ┌────────────┴───────────────┐</w:t>
        <w:br/>
        <w:t xml:space="preserve">                  │   LANGUAGE MODELLING       │</w:t>
        <w:br/>
        <w:t xml:space="preserve">                  │  Custom 20M-parameter      │</w:t>
        <w:br/>
        <w:t xml:space="preserve">                  │  decoder-only Transformer  │</w:t>
        <w:br/>
        <w:t xml:space="preserve">                  │  (PyTorch, trained from    │</w:t>
        <w:br/>
        <w:t xml:space="preserve">                  │  scratch on chunk + QA     │</w:t>
        <w:br/>
        <w:t xml:space="preserve">                  │  corpus)                   │</w:t>
        <w:br/>
        <w:t xml:space="preserve">                  └────────────┬───────────────┘</w:t>
        <w:br/>
        <w:t xml:space="preserve">                               │</w:t>
        <w:br/>
        <w:t xml:space="preserve">                  ┌────────────┴───────────────┐</w:t>
        <w:br/>
        <w:t xml:space="preserve">                  │   ANSWER SYNTHESIS +       │</w:t>
        <w:br/>
        <w:t xml:space="preserve">                  │   GROUNDING CHECK          │</w:t>
        <w:br/>
        <w:t xml:space="preserve">                  │   → citations [chunk_id]   │</w:t>
        <w:br/>
        <w:t xml:space="preserve">                  │   → faithfulness score     │</w:t>
        <w:br/>
        <w:t xml:space="preserve">                  └────────────┬───────────────┘</w:t>
        <w:br/>
        <w:t xml:space="preserve">                               │</w:t>
        <w:br/>
        <w:t xml:space="preserve">                               ▼</w:t>
        <w:br/>
        <w:t xml:space="preserve">                     GROUNDED ANSWER + SOURCES</w:t>
      </w:r>
    </w:p>
    <w:p>
      <w:pPr>
        <w:spacing w:before="280" w:after="120"/>
      </w:pPr>
      <w:r>
        <w:rPr>
          <w:rFonts w:ascii="Times New Roman" w:hAnsi="Times New Roman"/>
          <w:b/>
          <w:i w:val="0"/>
          <w:sz w:val="26"/>
        </w:rPr>
        <w:t>3.2 Step-by-step Explanation</w:t>
      </w:r>
    </w:p>
    <w:p>
      <w:pPr>
        <w:spacing w:after="160" w:line="360" w:lineRule="auto"/>
        <w:ind w:firstLine="432"/>
        <w:jc w:val="both"/>
      </w:pPr>
      <w:r>
        <w:rPr>
          <w:rFonts w:ascii="Times New Roman" w:hAnsi="Times New Roman"/>
          <w:b w:val="0"/>
          <w:i w:val="0"/>
          <w:sz w:val="22"/>
        </w:rPr>
        <w:t xml:space="preserve">The ingestion stage runs offline. Each source PDF is processed page by page using pypdf, and per-page text is deduplicated to remove running headers and footers. A section-aware chunker then groups contiguous pages into units of 300–800 words, respecting detected section headings so that a single chunk does not straddle semantic boundaries. Every chunk is assigned a deterministic identifier of the form </w:t>
      </w:r>
      <w:r>
        <w:rPr>
          <w:rFonts w:ascii="Consolas" w:hAnsi="Consolas"/>
          <w:b w:val="0"/>
          <w:i w:val="0"/>
          <w:sz w:val="20"/>
        </w:rPr>
        <w:t>&lt;doc-slug&gt;__&lt;section-id&gt;__p&lt;start&gt;-&lt;end&gt;__c&lt;NNNN&gt;</w:t>
      </w:r>
      <w:r>
        <w:rPr>
          <w:rFonts w:ascii="Times New Roman" w:hAnsi="Times New Roman"/>
          <w:b w:val="0"/>
          <w:i w:val="0"/>
          <w:sz w:val="22"/>
        </w:rPr>
        <w:t xml:space="preserve">, which supports stable citation even when the corpus is rebuilt. The output is a single JSONL file where each line is one chunk record containing </w:t>
      </w:r>
      <w:r>
        <w:rPr>
          <w:rFonts w:ascii="Consolas" w:hAnsi="Consolas"/>
          <w:b w:val="0"/>
          <w:i w:val="0"/>
          <w:sz w:val="20"/>
        </w:rPr>
        <w:t>doc_name</w:t>
      </w:r>
      <w:r>
        <w:rPr>
          <w:rFonts w:ascii="Times New Roman" w:hAnsi="Times New Roman"/>
          <w:b w:val="0"/>
          <w:i w:val="0"/>
          <w:sz w:val="22"/>
        </w:rPr>
        <w:t xml:space="preserve">, </w:t>
      </w:r>
      <w:r>
        <w:rPr>
          <w:rFonts w:ascii="Consolas" w:hAnsi="Consolas"/>
          <w:b w:val="0"/>
          <w:i w:val="0"/>
          <w:sz w:val="20"/>
        </w:rPr>
        <w:t>section_title</w:t>
      </w:r>
      <w:r>
        <w:rPr>
          <w:rFonts w:ascii="Times New Roman" w:hAnsi="Times New Roman"/>
          <w:b w:val="0"/>
          <w:i w:val="0"/>
          <w:sz w:val="22"/>
        </w:rPr>
        <w:t xml:space="preserve">, </w:t>
      </w:r>
      <w:r>
        <w:rPr>
          <w:rFonts w:ascii="Consolas" w:hAnsi="Consolas"/>
          <w:b w:val="0"/>
          <w:i w:val="0"/>
          <w:sz w:val="20"/>
        </w:rPr>
        <w:t>page_start</w:t>
      </w:r>
      <w:r>
        <w:rPr>
          <w:rFonts w:ascii="Times New Roman" w:hAnsi="Times New Roman"/>
          <w:b w:val="0"/>
          <w:i w:val="0"/>
          <w:sz w:val="22"/>
        </w:rPr>
        <w:t xml:space="preserve">, </w:t>
      </w:r>
      <w:r>
        <w:rPr>
          <w:rFonts w:ascii="Consolas" w:hAnsi="Consolas"/>
          <w:b w:val="0"/>
          <w:i w:val="0"/>
          <w:sz w:val="20"/>
        </w:rPr>
        <w:t>page_end</w:t>
      </w:r>
      <w:r>
        <w:rPr>
          <w:rFonts w:ascii="Times New Roman" w:hAnsi="Times New Roman"/>
          <w:b w:val="0"/>
          <w:i w:val="0"/>
          <w:sz w:val="22"/>
        </w:rPr>
        <w:t xml:space="preserve">, </w:t>
      </w:r>
      <w:r>
        <w:rPr>
          <w:rFonts w:ascii="Consolas" w:hAnsi="Consolas"/>
          <w:b w:val="0"/>
          <w:i w:val="0"/>
          <w:sz w:val="20"/>
        </w:rPr>
        <w:t>chunk_id</w:t>
      </w:r>
      <w:r>
        <w:rPr>
          <w:rFonts w:ascii="Times New Roman" w:hAnsi="Times New Roman"/>
          <w:b w:val="0"/>
          <w:i w:val="0"/>
          <w:sz w:val="22"/>
        </w:rPr>
        <w:t xml:space="preserve">, and </w:t>
      </w:r>
      <w:r>
        <w:rPr>
          <w:rFonts w:ascii="Consolas" w:hAnsi="Consolas"/>
          <w:b w:val="0"/>
          <w:i w:val="0"/>
          <w:sz w:val="20"/>
        </w:rPr>
        <w:t>text</w:t>
      </w:r>
      <w:r>
        <w:rPr>
          <w:rFonts w:ascii="Times New Roman" w:hAnsi="Times New Roman"/>
          <w:b w:val="0"/>
          <w:i w:val="0"/>
          <w:sz w:val="22"/>
        </w:rPr>
        <w:t>.</w:t>
      </w:r>
    </w:p>
    <w:p>
      <w:pPr>
        <w:spacing w:after="160" w:line="360" w:lineRule="auto"/>
        <w:ind w:firstLine="432"/>
        <w:jc w:val="both"/>
      </w:pPr>
      <w:r>
        <w:rPr>
          <w:rFonts w:ascii="Times New Roman" w:hAnsi="Times New Roman"/>
          <w:b w:val="0"/>
          <w:i w:val="0"/>
          <w:sz w:val="22"/>
        </w:rPr>
        <w:t>At query time, the hybrid retriever loads the chunk store and, in parallel, dispatches the query to two first-stage retrievers. BM25 tokenises query and corpus by lowercasing and whitespace-splitting, then scores each chunk using the classical Okapi weighting. The dense retriever encodes the query with the all-MiniLM-L6-v2 sentence-transformer, computes cosine similarity against a pre-built index of chunk embeddings, and returns the top-k nearest neighbours. The two ranked lists are min-max normalised into [0, 1] and combined via a convex fusion weighted by a single hyperparameter α. The fused list is then truncated to a candidate pool of size K (we use K = 20) and passed to the cross-encoder reranker, which performs a joint forward pass over each (query, passage) pair and produces a final score that replaces the fused score. The top-k reranked chunks form the evidence set for language modelling.</w:t>
      </w:r>
    </w:p>
    <w:p>
      <w:pPr>
        <w:spacing w:after="160" w:line="360" w:lineRule="auto"/>
        <w:ind w:firstLine="432"/>
        <w:jc w:val="both"/>
      </w:pPr>
      <w:r>
        <w:rPr>
          <w:rFonts w:ascii="Times New Roman" w:hAnsi="Times New Roman"/>
          <w:b w:val="0"/>
          <w:i w:val="0"/>
          <w:sz w:val="22"/>
        </w:rPr>
        <w:t xml:space="preserve">The language modelling stage is the core research contribution. A BPE tokenizer, trained on the domain corpus with a target vocabulary of 8,000 tokens (the actual vocabulary after training is 5,182 because the corpus saturates earlier), encodes the retrieved chunks concatenated with a structured prompt of the form </w:t>
      </w:r>
      <w:r>
        <w:rPr>
          <w:rFonts w:ascii="Consolas" w:hAnsi="Consolas"/>
          <w:b w:val="0"/>
          <w:i w:val="0"/>
          <w:sz w:val="20"/>
        </w:rPr>
        <w:t>CONTEXT: … QUESTION: … ANSWER:</w:t>
      </w:r>
      <w:r>
        <w:rPr>
          <w:rFonts w:ascii="Times New Roman" w:hAnsi="Times New Roman"/>
          <w:b w:val="0"/>
          <w:i w:val="0"/>
          <w:sz w:val="22"/>
        </w:rPr>
        <w:t xml:space="preserve">. This token sequence is fed into our custom 20-million-parameter decoder-only Transformer, which was trained from scratch on the same tokenizer. The model conditions its generation on the retrieved context and emits tokens until a designated </w:t>
      </w:r>
      <w:r>
        <w:rPr>
          <w:rFonts w:ascii="Consolas" w:hAnsi="Consolas"/>
          <w:b w:val="0"/>
          <w:i w:val="0"/>
          <w:sz w:val="20"/>
        </w:rPr>
        <w:t>&lt;END&gt;</w:t>
      </w:r>
      <w:r>
        <w:rPr>
          <w:rFonts w:ascii="Times New Roman" w:hAnsi="Times New Roman"/>
          <w:b w:val="0"/>
          <w:i w:val="0"/>
          <w:sz w:val="22"/>
        </w:rPr>
        <w:t xml:space="preserve"> boundary marker is produced or a maximum-length budget is reached.</w:t>
      </w:r>
    </w:p>
    <w:p>
      <w:pPr>
        <w:spacing w:after="160" w:line="360" w:lineRule="auto"/>
        <w:ind w:firstLine="432"/>
        <w:jc w:val="both"/>
      </w:pPr>
      <w:r>
        <w:rPr>
          <w:rFonts w:ascii="Times New Roman" w:hAnsi="Times New Roman"/>
          <w:b w:val="0"/>
          <w:i w:val="0"/>
          <w:sz w:val="22"/>
        </w:rPr>
        <w:t xml:space="preserve">The final stage synthesises the answer and performs a lightweight grounding check. Each sentence of the generated answer is tokenised and compared against the lexical content of the retrieved chunks; the faithfulness score is defined as the fraction of answer sentences whose content words overlap with the evidence set above a threshold. Sentences that fail this check are flagged as </w:t>
      </w:r>
      <w:r>
        <w:rPr>
          <w:rFonts w:ascii="Times New Roman" w:hAnsi="Times New Roman"/>
          <w:b w:val="0"/>
          <w:i/>
          <w:sz w:val="22"/>
        </w:rPr>
        <w:t>ungrounded</w:t>
      </w:r>
      <w:r>
        <w:rPr>
          <w:rFonts w:ascii="Times New Roman" w:hAnsi="Times New Roman"/>
          <w:b w:val="0"/>
          <w:i w:val="0"/>
          <w:sz w:val="22"/>
        </w:rPr>
        <w:t xml:space="preserve"> so that the user interface can warn the reader. Citations are emitted as inline </w:t>
      </w:r>
      <w:r>
        <w:rPr>
          <w:rFonts w:ascii="Consolas" w:hAnsi="Consolas"/>
          <w:b w:val="0"/>
          <w:i w:val="0"/>
          <w:sz w:val="20"/>
        </w:rPr>
        <w:t>[chunk_id]</w:t>
      </w:r>
      <w:r>
        <w:rPr>
          <w:rFonts w:ascii="Times New Roman" w:hAnsi="Times New Roman"/>
          <w:b w:val="0"/>
          <w:i w:val="0"/>
          <w:sz w:val="22"/>
        </w:rPr>
        <w:t xml:space="preserve"> markers, and the full chunk payload is returned alongside the answer so that a downstream UI can display the evidence.</w:t>
      </w:r>
    </w:p>
    <w:p>
      <w:pPr>
        <w:spacing w:before="280" w:after="120"/>
      </w:pPr>
      <w:r>
        <w:rPr>
          <w:rFonts w:ascii="Times New Roman" w:hAnsi="Times New Roman"/>
          <w:b/>
          <w:i w:val="0"/>
          <w:sz w:val="26"/>
        </w:rPr>
        <w:t>3.3 Model Architecture</w:t>
      </w:r>
    </w:p>
    <w:p>
      <w:pPr>
        <w:spacing w:after="160" w:line="360" w:lineRule="auto"/>
        <w:ind w:firstLine="432"/>
        <w:jc w:val="both"/>
      </w:pPr>
      <w:r>
        <w:rPr>
          <w:rFonts w:ascii="Times New Roman" w:hAnsi="Times New Roman"/>
          <w:b w:val="0"/>
          <w:i w:val="0"/>
          <w:sz w:val="22"/>
        </w:rPr>
        <w:t>The custom language model is a compact decoder-only Transformer parameterised as follows: 8 layers, 8 attention heads, embedding dimension 512, feed-forward hidden dimension 2,048, block size 384, dropout 0.1, and a total of 20.3 million trainable parameters. The vocabulary is the 5,182-token BPE inventory learned on the chunk corpus. An input sequence of token indices x ∈ ℕ^T is embedded into a dense sequence of shape (T, 512) by summing a learned token embedding and a learned absolute positional embedding, after which the sum is passed through a stack of eight identical decoder blocks. Each block applies pre-LayerNorm followed by masked multi-head self-attention, a residual connection, a second pre-LayerNorm, a position-wise two-layer feed-forward network with GELU activation, and a second residual connection. A final LayerNorm and a linear projection tied to the vocabulary produce the per-position logits.</w:t>
      </w:r>
    </w:p>
    <w:p>
      <w:pPr>
        <w:spacing w:after="160" w:line="360" w:lineRule="auto"/>
        <w:ind w:firstLine="432"/>
        <w:jc w:val="both"/>
      </w:pPr>
      <w:r>
        <w:rPr>
          <w:rFonts w:ascii="Times New Roman" w:hAnsi="Times New Roman"/>
          <w:b w:val="0"/>
          <w:i w:val="0"/>
          <w:sz w:val="22"/>
        </w:rPr>
        <w:t xml:space="preserve">The causal self-attention module within each block projects the input to queries, keys, and values through a single fused linear layer, splits the result into eight heads of dimension 64 each, and computes scaled dot-product attention with an additive triangular mask so that position </w:t>
      </w:r>
      <w:r>
        <w:rPr>
          <w:rFonts w:ascii="Times New Roman" w:hAnsi="Times New Roman"/>
          <w:b w:val="0"/>
          <w:i/>
          <w:sz w:val="22"/>
        </w:rPr>
        <w:t>t</w:t>
      </w:r>
      <w:r>
        <w:rPr>
          <w:rFonts w:ascii="Times New Roman" w:hAnsi="Times New Roman"/>
          <w:b w:val="0"/>
          <w:i w:val="0"/>
          <w:sz w:val="22"/>
        </w:rPr>
        <w:t xml:space="preserve"> attends only to positions </w:t>
      </w:r>
      <w:r>
        <w:rPr>
          <w:rFonts w:ascii="Times New Roman" w:hAnsi="Times New Roman"/>
          <w:b w:val="0"/>
          <w:i/>
          <w:sz w:val="22"/>
        </w:rPr>
        <w:t>≤ t</w:t>
      </w:r>
      <w:r>
        <w:rPr>
          <w:rFonts w:ascii="Times New Roman" w:hAnsi="Times New Roman"/>
          <w:b w:val="0"/>
          <w:i w:val="0"/>
          <w:sz w:val="22"/>
        </w:rPr>
        <w:t>. The attention output is reprojected and dropped out before the residual addition. The feed-forward network follows the standard Transformer geometry of expansion factor four. Weights are initialised from a zero-mean normal distribution with standard deviation 0.02, consistent with the GPT-2 initialisation scheme. During training the model minimises the standard token-level cross-entropy loss with targets shifted by one position, which corresponds to the maximum-likelihood estimate of the next-token distribution.</w:t>
      </w:r>
    </w:p>
    <w:p>
      <w:pPr>
        <w:spacing w:before="280" w:after="120"/>
      </w:pPr>
      <w:r>
        <w:rPr>
          <w:rFonts w:ascii="Times New Roman" w:hAnsi="Times New Roman"/>
          <w:b/>
          <w:i w:val="0"/>
          <w:sz w:val="26"/>
        </w:rPr>
        <w:t>3.4 Mathematical Formulation</w:t>
      </w:r>
    </w:p>
    <w:p>
      <w:pPr>
        <w:spacing w:after="160" w:line="360" w:lineRule="auto"/>
        <w:ind w:firstLine="432"/>
        <w:jc w:val="both"/>
      </w:pPr>
      <w:r>
        <w:rPr>
          <w:rFonts w:ascii="Times New Roman" w:hAnsi="Times New Roman"/>
          <w:b w:val="0"/>
          <w:i w:val="0"/>
          <w:sz w:val="22"/>
        </w:rPr>
        <w:t xml:space="preserve">Let </w:t>
      </w:r>
      <w:r>
        <w:rPr>
          <w:rFonts w:ascii="Times New Roman" w:hAnsi="Times New Roman"/>
          <w:b w:val="0"/>
          <w:i/>
          <w:sz w:val="22"/>
        </w:rPr>
        <w:t>C</w:t>
      </w:r>
      <w:r>
        <w:rPr>
          <w:rFonts w:ascii="Times New Roman" w:hAnsi="Times New Roman"/>
          <w:b w:val="0"/>
          <w:i w:val="0"/>
          <w:sz w:val="22"/>
        </w:rPr>
        <w:t xml:space="preserve"> = {c₁, …, c_N} denote the set of N chunks produced by the ingestion stage and let </w:t>
      </w:r>
      <w:r>
        <w:rPr>
          <w:rFonts w:ascii="Times New Roman" w:hAnsi="Times New Roman"/>
          <w:b w:val="0"/>
          <w:i/>
          <w:sz w:val="22"/>
        </w:rPr>
        <w:t>q</w:t>
      </w:r>
      <w:r>
        <w:rPr>
          <w:rFonts w:ascii="Times New Roman" w:hAnsi="Times New Roman"/>
          <w:b w:val="0"/>
          <w:i w:val="0"/>
          <w:sz w:val="22"/>
        </w:rPr>
        <w:t xml:space="preserve"> denote a user query. The BM25 score for query </w:t>
      </w:r>
      <w:r>
        <w:rPr>
          <w:rFonts w:ascii="Times New Roman" w:hAnsi="Times New Roman"/>
          <w:b w:val="0"/>
          <w:i/>
          <w:sz w:val="22"/>
        </w:rPr>
        <w:t>q</w:t>
      </w:r>
      <w:r>
        <w:rPr>
          <w:rFonts w:ascii="Times New Roman" w:hAnsi="Times New Roman"/>
          <w:b w:val="0"/>
          <w:i w:val="0"/>
          <w:sz w:val="22"/>
        </w:rPr>
        <w:t xml:space="preserve"> against chunk </w:t>
      </w:r>
      <w:r>
        <w:rPr>
          <w:rFonts w:ascii="Times New Roman" w:hAnsi="Times New Roman"/>
          <w:b w:val="0"/>
          <w:i/>
          <w:sz w:val="22"/>
        </w:rPr>
        <w:t>c</w:t>
      </w:r>
      <w:r>
        <w:rPr>
          <w:rFonts w:ascii="Times New Roman" w:hAnsi="Times New Roman"/>
          <w:b w:val="0"/>
          <w:i w:val="0"/>
          <w:sz w:val="22"/>
        </w:rPr>
        <w:t xml:space="preserve"> is given by the Okapi weighting</w:t>
      </w:r>
    </w:p>
    <w:p>
      <w:pPr>
        <w:spacing w:after="160" w:line="360" w:lineRule="auto"/>
        <w:ind w:firstLine="432"/>
        <w:jc w:val="both"/>
      </w:pPr>
      <w:r>
        <w:rPr>
          <w:rFonts w:ascii="Times New Roman" w:hAnsi="Times New Roman"/>
          <w:b w:val="0"/>
          <w:i w:val="0"/>
          <w:sz w:val="22"/>
        </w:rPr>
        <w:t xml:space="preserve">    BM25(q, c) = Σ_{t ∈ q} IDF(t) · [ f(t, c) · (k₁ + 1) ] / [ f(t, c) + k₁ · (1 − b + b · |c| / avgdl) ],</w:t>
      </w:r>
    </w:p>
    <w:p>
      <w:pPr>
        <w:spacing w:after="160" w:line="360" w:lineRule="auto"/>
        <w:ind w:firstLine="432"/>
        <w:jc w:val="both"/>
      </w:pPr>
      <w:r>
        <w:rPr>
          <w:rFonts w:ascii="Times New Roman" w:hAnsi="Times New Roman"/>
          <w:b w:val="0"/>
          <w:i w:val="0"/>
          <w:sz w:val="22"/>
        </w:rPr>
        <w:t xml:space="preserve">where </w:t>
      </w:r>
      <w:r>
        <w:rPr>
          <w:rFonts w:ascii="Times New Roman" w:hAnsi="Times New Roman"/>
          <w:b w:val="0"/>
          <w:i/>
          <w:sz w:val="22"/>
        </w:rPr>
        <w:t>f(t, c)</w:t>
      </w:r>
      <w:r>
        <w:rPr>
          <w:rFonts w:ascii="Times New Roman" w:hAnsi="Times New Roman"/>
          <w:b w:val="0"/>
          <w:i w:val="0"/>
          <w:sz w:val="22"/>
        </w:rPr>
        <w:t xml:space="preserve"> is the raw term frequency of </w:t>
      </w:r>
      <w:r>
        <w:rPr>
          <w:rFonts w:ascii="Times New Roman" w:hAnsi="Times New Roman"/>
          <w:b w:val="0"/>
          <w:i/>
          <w:sz w:val="22"/>
        </w:rPr>
        <w:t>t</w:t>
      </w:r>
      <w:r>
        <w:rPr>
          <w:rFonts w:ascii="Times New Roman" w:hAnsi="Times New Roman"/>
          <w:b w:val="0"/>
          <w:i w:val="0"/>
          <w:sz w:val="22"/>
        </w:rPr>
        <w:t xml:space="preserve"> in </w:t>
      </w:r>
      <w:r>
        <w:rPr>
          <w:rFonts w:ascii="Times New Roman" w:hAnsi="Times New Roman"/>
          <w:b w:val="0"/>
          <w:i/>
          <w:sz w:val="22"/>
        </w:rPr>
        <w:t>c</w:t>
      </w:r>
      <w:r>
        <w:rPr>
          <w:rFonts w:ascii="Times New Roman" w:hAnsi="Times New Roman"/>
          <w:b w:val="0"/>
          <w:i w:val="0"/>
          <w:sz w:val="22"/>
        </w:rPr>
        <w:t>, |</w:t>
      </w:r>
      <w:r>
        <w:rPr>
          <w:rFonts w:ascii="Times New Roman" w:hAnsi="Times New Roman"/>
          <w:b w:val="0"/>
          <w:i/>
          <w:sz w:val="22"/>
        </w:rPr>
        <w:t>c</w:t>
      </w:r>
      <w:r>
        <w:rPr>
          <w:rFonts w:ascii="Times New Roman" w:hAnsi="Times New Roman"/>
          <w:b w:val="0"/>
          <w:i w:val="0"/>
          <w:sz w:val="22"/>
        </w:rPr>
        <w:t xml:space="preserve">| is the length of </w:t>
      </w:r>
      <w:r>
        <w:rPr>
          <w:rFonts w:ascii="Times New Roman" w:hAnsi="Times New Roman"/>
          <w:b w:val="0"/>
          <w:i/>
          <w:sz w:val="22"/>
        </w:rPr>
        <w:t>c</w:t>
      </w:r>
      <w:r>
        <w:rPr>
          <w:rFonts w:ascii="Times New Roman" w:hAnsi="Times New Roman"/>
          <w:b w:val="0"/>
          <w:i w:val="0"/>
          <w:sz w:val="22"/>
        </w:rPr>
        <w:t xml:space="preserve"> in tokens, avgdl is the average chunk length, and </w:t>
      </w:r>
      <w:r>
        <w:rPr>
          <w:rFonts w:ascii="Times New Roman" w:hAnsi="Times New Roman"/>
          <w:b w:val="0"/>
          <w:i/>
          <w:sz w:val="22"/>
        </w:rPr>
        <w:t>k₁</w:t>
      </w:r>
      <w:r>
        <w:rPr>
          <w:rFonts w:ascii="Times New Roman" w:hAnsi="Times New Roman"/>
          <w:b w:val="0"/>
          <w:i w:val="0"/>
          <w:sz w:val="22"/>
        </w:rPr>
        <w:t xml:space="preserve"> and </w:t>
      </w:r>
      <w:r>
        <w:rPr>
          <w:rFonts w:ascii="Times New Roman" w:hAnsi="Times New Roman"/>
          <w:b w:val="0"/>
          <w:i/>
          <w:sz w:val="22"/>
        </w:rPr>
        <w:t>b</w:t>
      </w:r>
      <w:r>
        <w:rPr>
          <w:rFonts w:ascii="Times New Roman" w:hAnsi="Times New Roman"/>
          <w:b w:val="0"/>
          <w:i w:val="0"/>
          <w:sz w:val="22"/>
        </w:rPr>
        <w:t xml:space="preserve"> are the standard BM25 hyperparameters. The dense score is the cosine similarity</w:t>
      </w:r>
    </w:p>
    <w:p>
      <w:pPr>
        <w:spacing w:after="160" w:line="360" w:lineRule="auto"/>
        <w:ind w:firstLine="432"/>
        <w:jc w:val="both"/>
      </w:pPr>
      <w:r>
        <w:rPr>
          <w:rFonts w:ascii="Times New Roman" w:hAnsi="Times New Roman"/>
          <w:b w:val="0"/>
          <w:i w:val="0"/>
          <w:sz w:val="22"/>
        </w:rPr>
        <w:t xml:space="preserve">    Dense(q, c) = ⟨E(q), E(c)⟩ / (‖E(q)‖ · ‖E(c)‖),</w:t>
      </w:r>
    </w:p>
    <w:p>
      <w:pPr>
        <w:spacing w:after="160" w:line="360" w:lineRule="auto"/>
        <w:ind w:firstLine="432"/>
        <w:jc w:val="both"/>
      </w:pPr>
      <w:r>
        <w:rPr>
          <w:rFonts w:ascii="Times New Roman" w:hAnsi="Times New Roman"/>
          <w:b w:val="0"/>
          <w:i w:val="0"/>
          <w:sz w:val="22"/>
        </w:rPr>
        <w:t>where E is the MiniLM sentence-transformer encoder. After min-max normalisation of each score list into the unit interval, the hybrid score is the convex combination</w:t>
      </w:r>
    </w:p>
    <w:p>
      <w:pPr>
        <w:spacing w:after="160" w:line="360" w:lineRule="auto"/>
        <w:ind w:firstLine="432"/>
        <w:jc w:val="both"/>
      </w:pPr>
      <w:r>
        <w:rPr>
          <w:rFonts w:ascii="Times New Roman" w:hAnsi="Times New Roman"/>
          <w:b w:val="0"/>
          <w:i w:val="0"/>
          <w:sz w:val="22"/>
        </w:rPr>
        <w:t xml:space="preserve">    Hybrid(q, c) = α · BM25̂(q, c) + (1 − α) · Densê(q, c),</w:t>
      </w:r>
    </w:p>
    <w:p>
      <w:pPr>
        <w:spacing w:after="160" w:line="360" w:lineRule="auto"/>
        <w:ind w:firstLine="432"/>
        <w:jc w:val="both"/>
      </w:pPr>
      <w:r>
        <w:rPr>
          <w:rFonts w:ascii="Times New Roman" w:hAnsi="Times New Roman"/>
          <w:b w:val="0"/>
          <w:i w:val="0"/>
          <w:sz w:val="22"/>
        </w:rPr>
        <w:t>with α ∈ [0, 1] chosen by grid search on held-out queries. The top-K hybrid candidates are then rescored by the cross-encoder</w:t>
      </w:r>
    </w:p>
    <w:p>
      <w:pPr>
        <w:spacing w:after="160" w:line="360" w:lineRule="auto"/>
        <w:ind w:firstLine="432"/>
        <w:jc w:val="both"/>
      </w:pPr>
      <w:r>
        <w:rPr>
          <w:rFonts w:ascii="Times New Roman" w:hAnsi="Times New Roman"/>
          <w:b w:val="0"/>
          <w:i w:val="0"/>
          <w:sz w:val="22"/>
        </w:rPr>
        <w:t xml:space="preserve">    Rerank(q, c) = CE([q; c]),</w:t>
      </w:r>
    </w:p>
    <w:p>
      <w:pPr>
        <w:spacing w:after="160" w:line="360" w:lineRule="auto"/>
        <w:ind w:firstLine="432"/>
        <w:jc w:val="both"/>
      </w:pPr>
      <w:r>
        <w:rPr>
          <w:rFonts w:ascii="Times New Roman" w:hAnsi="Times New Roman"/>
          <w:b w:val="0"/>
          <w:i w:val="0"/>
          <w:sz w:val="22"/>
        </w:rPr>
        <w:t>where [q; c] denotes concatenation with a separator token and CE is the cross-encoder forward pass.</w:t>
      </w:r>
    </w:p>
    <w:p>
      <w:pPr>
        <w:spacing w:after="160" w:line="360" w:lineRule="auto"/>
        <w:ind w:firstLine="432"/>
        <w:jc w:val="both"/>
      </w:pPr>
      <w:r>
        <w:rPr>
          <w:rFonts w:ascii="Times New Roman" w:hAnsi="Times New Roman"/>
          <w:b w:val="0"/>
          <w:i w:val="0"/>
          <w:sz w:val="22"/>
        </w:rPr>
        <w:t xml:space="preserve">For the decoder-only Transformer, let the input token sequence be </w:t>
      </w:r>
      <w:r>
        <w:rPr>
          <w:rFonts w:ascii="Times New Roman" w:hAnsi="Times New Roman"/>
          <w:b w:val="0"/>
          <w:i/>
          <w:sz w:val="22"/>
        </w:rPr>
        <w:t>x = (x₁, …, x_T)</w:t>
      </w:r>
      <w:r>
        <w:rPr>
          <w:rFonts w:ascii="Times New Roman" w:hAnsi="Times New Roman"/>
          <w:b w:val="0"/>
          <w:i w:val="0"/>
          <w:sz w:val="22"/>
        </w:rPr>
        <w:t xml:space="preserve"> and let the per-position hidden states be </w:t>
      </w:r>
      <w:r>
        <w:rPr>
          <w:rFonts w:ascii="Times New Roman" w:hAnsi="Times New Roman"/>
          <w:b w:val="0"/>
          <w:i/>
          <w:sz w:val="22"/>
        </w:rPr>
        <w:t>h</w:t>
      </w:r>
      <w:r>
        <w:rPr>
          <w:rFonts w:ascii="Times New Roman" w:hAnsi="Times New Roman"/>
          <w:b w:val="0"/>
          <w:i w:val="0"/>
          <w:sz w:val="22"/>
        </w:rPr>
        <w:t xml:space="preserve"> = (</w:t>
      </w:r>
      <w:r>
        <w:rPr>
          <w:rFonts w:ascii="Times New Roman" w:hAnsi="Times New Roman"/>
          <w:b w:val="0"/>
          <w:i/>
          <w:sz w:val="22"/>
        </w:rPr>
        <w:t>h₁, …, h_T</w:t>
      </w:r>
      <w:r>
        <w:rPr>
          <w:rFonts w:ascii="Times New Roman" w:hAnsi="Times New Roman"/>
          <w:b w:val="0"/>
          <w:i w:val="0"/>
          <w:sz w:val="22"/>
        </w:rPr>
        <w:t>). The forward pass may be written compactly as</w:t>
      </w:r>
    </w:p>
    <w:p>
      <w:pPr>
        <w:spacing w:after="160" w:line="360" w:lineRule="auto"/>
        <w:ind w:firstLine="432"/>
        <w:jc w:val="both"/>
      </w:pPr>
      <w:r>
        <w:rPr>
          <w:rFonts w:ascii="Times New Roman" w:hAnsi="Times New Roman"/>
          <w:b w:val="0"/>
          <w:i w:val="0"/>
          <w:sz w:val="22"/>
        </w:rPr>
        <w:t xml:space="preserve">    h⁰ = W_E · x + W_P · pos, hˡ = hˡ⁻¹ + MHA(LN(hˡ⁻¹)), hˡ = hˡ + FFN(LN(hˡ)), for l = 1, …, L, logits = LN(h^L) · W_Uᵀ,</w:t>
      </w:r>
    </w:p>
    <w:p>
      <w:pPr>
        <w:spacing w:after="160" w:line="360" w:lineRule="auto"/>
        <w:ind w:firstLine="432"/>
        <w:jc w:val="both"/>
      </w:pPr>
      <w:r>
        <w:rPr>
          <w:rFonts w:ascii="Times New Roman" w:hAnsi="Times New Roman"/>
          <w:b w:val="0"/>
          <w:i w:val="0"/>
          <w:sz w:val="22"/>
        </w:rPr>
        <w:t>where W_E and W_P are the token and positional embedding matrices, MHA is masked multi-head self-attention, FFN is the two-layer feed-forward block, LN is LayerNorm, and W_U is the output unembedding. The training objective is the token-level negative log-likelihood</w:t>
      </w:r>
    </w:p>
    <w:p>
      <w:pPr>
        <w:spacing w:after="160" w:line="360" w:lineRule="auto"/>
        <w:ind w:firstLine="432"/>
        <w:jc w:val="both"/>
      </w:pPr>
      <w:r>
        <w:rPr>
          <w:rFonts w:ascii="Times New Roman" w:hAnsi="Times New Roman"/>
          <w:b w:val="0"/>
          <w:i w:val="0"/>
          <w:sz w:val="22"/>
        </w:rPr>
        <w:t xml:space="preserve">    ℒ = − (1 / T) Σ_{t=1}^{T} log P(x_{t+1} | x_{≤t}; θ),</w:t>
      </w:r>
    </w:p>
    <w:p>
      <w:pPr>
        <w:spacing w:after="160" w:line="360" w:lineRule="auto"/>
        <w:ind w:firstLine="432"/>
        <w:jc w:val="both"/>
      </w:pPr>
      <w:r>
        <w:rPr>
          <w:rFonts w:ascii="Times New Roman" w:hAnsi="Times New Roman"/>
          <w:b w:val="0"/>
          <w:i w:val="0"/>
          <w:sz w:val="22"/>
        </w:rPr>
        <w:t>which is minimised with the AdamW optimiser.</w:t>
      </w:r>
    </w:p>
    <w:p>
      <w:pPr>
        <w:spacing w:before="280" w:after="120"/>
      </w:pPr>
      <w:r>
        <w:rPr>
          <w:rFonts w:ascii="Times New Roman" w:hAnsi="Times New Roman"/>
          <w:b/>
          <w:i w:val="0"/>
          <w:sz w:val="26"/>
        </w:rPr>
        <w:t>3.5 Summary of Methodology</w:t>
      </w:r>
    </w:p>
    <w:p>
      <w:pPr>
        <w:spacing w:after="160" w:line="360" w:lineRule="auto"/>
        <w:ind w:firstLine="432"/>
        <w:jc w:val="both"/>
      </w:pPr>
      <w:r>
        <w:rPr>
          <w:rFonts w:ascii="Times New Roman" w:hAnsi="Times New Roman"/>
          <w:b w:val="0"/>
          <w:i w:val="0"/>
          <w:sz w:val="22"/>
        </w:rPr>
        <w:t>In summary, the pipeline composes classical and neural retrieval with a custom decoder-only Transformer language model to obtain grounded, citation-backed answers on a specialised domain. The design intentionally separates retrieval from generation so that each stage can be evaluated independently: retrieval quality is measured against a gold chunk, generation quality against a gold answer, and faithfulness against the union of retrieved evidence. The hybrid + rerank retrieval stack addresses the acronym-heavy vocabulary of policy text; the domain-trained tokenizer and Transformer address the distributional mismatch between generic pre-trained models and the Indian policy register; and the grounding check addresses the well-known tendency of generative models to hallucinate under-specified content. Together, these choices yield a reproducible system that we evaluate empirically in the next section.</w:t>
      </w:r>
    </w:p>
    <w:p>
      <w:pPr>
        <w:spacing w:before="280" w:after="120"/>
      </w:pPr>
      <w:r>
        <w:rPr>
          <w:rFonts w:ascii="Times New Roman" w:hAnsi="Times New Roman"/>
          <w:b/>
          <w:i w:val="0"/>
          <w:sz w:val="32"/>
        </w:rPr>
        <w:t>4. Performance and Results</w:t>
      </w:r>
    </w:p>
    <w:p>
      <w:pPr>
        <w:spacing w:after="160" w:line="360" w:lineRule="auto"/>
        <w:ind w:firstLine="432"/>
        <w:jc w:val="both"/>
      </w:pPr>
      <w:r>
        <w:rPr>
          <w:rFonts w:ascii="Times New Roman" w:hAnsi="Times New Roman"/>
          <w:b w:val="0"/>
          <w:i w:val="0"/>
          <w:sz w:val="22"/>
        </w:rPr>
        <w:t>This section reports the empirical evaluation of the pipeline on the 597-pair domain question-answering dataset we curated over the three policy PDFs. We proceed in three tiers, as prescribed by the report format. Tier 1 presents performance metrics of the individual retrieval components and of the end-to-end answering pipeline. Tier 2 positions these numbers against published baselines on comparable retrieval benchmarks. Tier 3 quantifies the improvement of the proposed stack over its own strongest single-component baseline, which establishes the internal benchmark of the study.</w:t>
      </w:r>
    </w:p>
    <w:p>
      <w:pPr>
        <w:spacing w:before="280" w:after="120"/>
      </w:pPr>
      <w:r>
        <w:rPr>
          <w:rFonts w:ascii="Times New Roman" w:hAnsi="Times New Roman"/>
          <w:b/>
          <w:i w:val="0"/>
          <w:sz w:val="26"/>
        </w:rPr>
        <w:t>4.1 Tier 1 — Intrinsic Performance</w:t>
      </w:r>
    </w:p>
    <w:p>
      <w:pPr>
        <w:spacing w:after="160" w:line="360" w:lineRule="auto"/>
        <w:ind w:firstLine="432"/>
        <w:jc w:val="both"/>
      </w:pPr>
      <w:r>
        <w:rPr>
          <w:rFonts w:ascii="Times New Roman" w:hAnsi="Times New Roman"/>
          <w:b w:val="0"/>
          <w:i w:val="0"/>
          <w:sz w:val="22"/>
        </w:rPr>
        <w:t>Retrieval quality is measured on the 597 query-chunk pairs using three standard ranking metrics. Recall@5 measures the fraction of queries for which the gold chunk appears in the top five retrieved chunks; Mean Reciprocal Rank at 10 (MRR@10) measures the expected reciprocal position of the first relevant chunk within the top ten; and normalised Discounted Cumulative Gain at 10 (nDCG@10) aggregates graded relevance with a logarithmic rank discount. Table 1 reports these numbers for the four retrieval configurations we evaluated.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jc w:val="center"/>
            </w:pPr>
            <w:r/>
            <w:r>
              <w:rPr>
                <w:rFonts w:ascii="Times New Roman" w:hAnsi="Times New Roman"/>
                <w:b/>
                <w:i w:val="0"/>
                <w:sz w:val="21"/>
              </w:rPr>
              <w:t>Method</w:t>
            </w:r>
          </w:p>
        </w:tc>
        <w:tc>
          <w:tcPr>
            <w:tcW w:type="dxa" w:w="2340"/>
            <w:vAlign w:val="center"/>
          </w:tcPr>
          <w:p>
            <w:pPr>
              <w:jc w:val="center"/>
            </w:pPr>
            <w:r/>
            <w:r>
              <w:rPr>
                <w:rFonts w:ascii="Times New Roman" w:hAnsi="Times New Roman"/>
                <w:b/>
                <w:i w:val="0"/>
                <w:sz w:val="21"/>
              </w:rPr>
              <w:t>Recall@5</w:t>
            </w:r>
          </w:p>
        </w:tc>
        <w:tc>
          <w:tcPr>
            <w:tcW w:type="dxa" w:w="2340"/>
            <w:vAlign w:val="center"/>
          </w:tcPr>
          <w:p>
            <w:pPr>
              <w:jc w:val="center"/>
            </w:pPr>
            <w:r/>
            <w:r>
              <w:rPr>
                <w:rFonts w:ascii="Times New Roman" w:hAnsi="Times New Roman"/>
                <w:b/>
                <w:i w:val="0"/>
                <w:sz w:val="21"/>
              </w:rPr>
              <w:t>MRR@10</w:t>
            </w:r>
          </w:p>
        </w:tc>
        <w:tc>
          <w:tcPr>
            <w:tcW w:type="dxa" w:w="2340"/>
            <w:vAlign w:val="center"/>
          </w:tcPr>
          <w:p>
            <w:pPr>
              <w:jc w:val="center"/>
            </w:pPr>
            <w:r/>
            <w:r>
              <w:rPr>
                <w:rFonts w:ascii="Times New Roman" w:hAnsi="Times New Roman"/>
                <w:b/>
                <w:i w:val="0"/>
                <w:sz w:val="21"/>
              </w:rPr>
              <w:t>nDCG@10</w:t>
            </w:r>
          </w:p>
        </w:tc>
      </w:tr>
      <w:tr>
        <w:tc>
          <w:tcPr>
            <w:tcW w:type="dxa" w:w="2340"/>
            <w:vAlign w:val="center"/>
          </w:tcPr>
          <w:p>
            <w:pPr>
              <w:jc w:val="left"/>
            </w:pPr>
            <w:r/>
            <w:r>
              <w:rPr>
                <w:rFonts w:ascii="Times New Roman" w:hAnsi="Times New Roman"/>
                <w:b w:val="0"/>
                <w:i w:val="0"/>
                <w:sz w:val="21"/>
              </w:rPr>
              <w:t>BM25</w:t>
            </w:r>
          </w:p>
        </w:tc>
        <w:tc>
          <w:tcPr>
            <w:tcW w:type="dxa" w:w="2340"/>
            <w:vAlign w:val="center"/>
          </w:tcPr>
          <w:p>
            <w:pPr>
              <w:jc w:val="center"/>
            </w:pPr>
            <w:r/>
            <w:r>
              <w:rPr>
                <w:rFonts w:ascii="Times New Roman" w:hAnsi="Times New Roman"/>
                <w:b w:val="0"/>
                <w:i w:val="0"/>
                <w:sz w:val="21"/>
              </w:rPr>
              <w:t>0.6047</w:t>
            </w:r>
          </w:p>
        </w:tc>
        <w:tc>
          <w:tcPr>
            <w:tcW w:type="dxa" w:w="2340"/>
            <w:vAlign w:val="center"/>
          </w:tcPr>
          <w:p>
            <w:pPr>
              <w:jc w:val="center"/>
            </w:pPr>
            <w:r/>
            <w:r>
              <w:rPr>
                <w:rFonts w:ascii="Times New Roman" w:hAnsi="Times New Roman"/>
                <w:b w:val="0"/>
                <w:i w:val="0"/>
                <w:sz w:val="21"/>
              </w:rPr>
              <w:t>0.4460</w:t>
            </w:r>
          </w:p>
        </w:tc>
        <w:tc>
          <w:tcPr>
            <w:tcW w:type="dxa" w:w="2340"/>
            <w:vAlign w:val="center"/>
          </w:tcPr>
          <w:p>
            <w:pPr>
              <w:jc w:val="center"/>
            </w:pPr>
            <w:r/>
            <w:r>
              <w:rPr>
                <w:rFonts w:ascii="Times New Roman" w:hAnsi="Times New Roman"/>
                <w:b w:val="0"/>
                <w:i w:val="0"/>
                <w:sz w:val="21"/>
              </w:rPr>
              <w:t>0.5159</w:t>
            </w:r>
          </w:p>
        </w:tc>
      </w:tr>
      <w:tr>
        <w:tc>
          <w:tcPr>
            <w:tcW w:type="dxa" w:w="2340"/>
            <w:vAlign w:val="center"/>
          </w:tcPr>
          <w:p>
            <w:pPr>
              <w:jc w:val="left"/>
            </w:pPr>
            <w:r/>
            <w:r>
              <w:rPr>
                <w:rFonts w:ascii="Times New Roman" w:hAnsi="Times New Roman"/>
                <w:b w:val="0"/>
                <w:i w:val="0"/>
                <w:sz w:val="21"/>
              </w:rPr>
              <w:t>Dense (MiniLM-L6)</w:t>
            </w:r>
          </w:p>
        </w:tc>
        <w:tc>
          <w:tcPr>
            <w:tcW w:type="dxa" w:w="2340"/>
            <w:vAlign w:val="center"/>
          </w:tcPr>
          <w:p>
            <w:pPr>
              <w:jc w:val="center"/>
            </w:pPr>
            <w:r/>
            <w:r>
              <w:rPr>
                <w:rFonts w:ascii="Times New Roman" w:hAnsi="Times New Roman"/>
                <w:b w:val="0"/>
                <w:i w:val="0"/>
                <w:sz w:val="21"/>
              </w:rPr>
              <w:t>0.3635</w:t>
            </w:r>
          </w:p>
        </w:tc>
        <w:tc>
          <w:tcPr>
            <w:tcW w:type="dxa" w:w="2340"/>
            <w:vAlign w:val="center"/>
          </w:tcPr>
          <w:p>
            <w:pPr>
              <w:jc w:val="center"/>
            </w:pPr>
            <w:r/>
            <w:r>
              <w:rPr>
                <w:rFonts w:ascii="Times New Roman" w:hAnsi="Times New Roman"/>
                <w:b w:val="0"/>
                <w:i w:val="0"/>
                <w:sz w:val="21"/>
              </w:rPr>
              <w:t>0.2360</w:t>
            </w:r>
          </w:p>
        </w:tc>
        <w:tc>
          <w:tcPr>
            <w:tcW w:type="dxa" w:w="2340"/>
            <w:vAlign w:val="center"/>
          </w:tcPr>
          <w:p>
            <w:pPr>
              <w:jc w:val="center"/>
            </w:pPr>
            <w:r/>
            <w:r>
              <w:rPr>
                <w:rFonts w:ascii="Times New Roman" w:hAnsi="Times New Roman"/>
                <w:b w:val="0"/>
                <w:i w:val="0"/>
                <w:sz w:val="21"/>
              </w:rPr>
              <w:t>0.2888</w:t>
            </w:r>
          </w:p>
        </w:tc>
      </w:tr>
      <w:tr>
        <w:tc>
          <w:tcPr>
            <w:tcW w:type="dxa" w:w="2340"/>
            <w:vAlign w:val="center"/>
          </w:tcPr>
          <w:p>
            <w:pPr>
              <w:jc w:val="left"/>
            </w:pPr>
            <w:r/>
            <w:r>
              <w:rPr>
                <w:rFonts w:ascii="Times New Roman" w:hAnsi="Times New Roman"/>
                <w:b w:val="0"/>
                <w:i w:val="0"/>
                <w:sz w:val="21"/>
              </w:rPr>
              <w:t>Hybrid (α = 0.6)</w:t>
            </w:r>
          </w:p>
        </w:tc>
        <w:tc>
          <w:tcPr>
            <w:tcW w:type="dxa" w:w="2340"/>
            <w:vAlign w:val="center"/>
          </w:tcPr>
          <w:p>
            <w:pPr>
              <w:jc w:val="center"/>
            </w:pPr>
            <w:r/>
            <w:r>
              <w:rPr>
                <w:rFonts w:ascii="Times New Roman" w:hAnsi="Times New Roman"/>
                <w:b w:val="0"/>
                <w:i w:val="0"/>
                <w:sz w:val="21"/>
              </w:rPr>
              <w:t>0.6047</w:t>
            </w:r>
          </w:p>
        </w:tc>
        <w:tc>
          <w:tcPr>
            <w:tcW w:type="dxa" w:w="2340"/>
            <w:vAlign w:val="center"/>
          </w:tcPr>
          <w:p>
            <w:pPr>
              <w:jc w:val="center"/>
            </w:pPr>
            <w:r/>
            <w:r>
              <w:rPr>
                <w:rFonts w:ascii="Times New Roman" w:hAnsi="Times New Roman"/>
                <w:b w:val="0"/>
                <w:i w:val="0"/>
                <w:sz w:val="21"/>
              </w:rPr>
              <w:t>0.4594</w:t>
            </w:r>
          </w:p>
        </w:tc>
        <w:tc>
          <w:tcPr>
            <w:tcW w:type="dxa" w:w="2340"/>
            <w:vAlign w:val="center"/>
          </w:tcPr>
          <w:p>
            <w:pPr>
              <w:jc w:val="center"/>
            </w:pPr>
            <w:r/>
            <w:r>
              <w:rPr>
                <w:rFonts w:ascii="Times New Roman" w:hAnsi="Times New Roman"/>
                <w:b w:val="0"/>
                <w:i w:val="0"/>
                <w:sz w:val="21"/>
              </w:rPr>
              <w:t>0.5178</w:t>
            </w:r>
          </w:p>
        </w:tc>
      </w:tr>
      <w:tr>
        <w:tc>
          <w:tcPr>
            <w:tcW w:type="dxa" w:w="2340"/>
            <w:vAlign w:val="center"/>
          </w:tcPr>
          <w:p>
            <w:pPr>
              <w:jc w:val="left"/>
            </w:pPr>
            <w:r/>
            <w:r>
              <w:rPr>
                <w:rFonts w:ascii="Times New Roman" w:hAnsi="Times New Roman"/>
                <w:b/>
                <w:i w:val="0"/>
                <w:sz w:val="21"/>
              </w:rPr>
              <w:t>Hybrid + Rerank</w:t>
            </w:r>
          </w:p>
        </w:tc>
        <w:tc>
          <w:tcPr>
            <w:tcW w:type="dxa" w:w="2340"/>
            <w:vAlign w:val="center"/>
          </w:tcPr>
          <w:p>
            <w:pPr>
              <w:jc w:val="center"/>
            </w:pPr>
            <w:r/>
            <w:r>
              <w:rPr>
                <w:rFonts w:ascii="Times New Roman" w:hAnsi="Times New Roman"/>
                <w:b/>
                <w:i w:val="0"/>
                <w:sz w:val="21"/>
              </w:rPr>
              <w:t>0.6700</w:t>
            </w:r>
          </w:p>
        </w:tc>
        <w:tc>
          <w:tcPr>
            <w:tcW w:type="dxa" w:w="2340"/>
            <w:vAlign w:val="center"/>
          </w:tcPr>
          <w:p>
            <w:pPr>
              <w:jc w:val="center"/>
            </w:pPr>
            <w:r/>
            <w:r>
              <w:rPr>
                <w:rFonts w:ascii="Times New Roman" w:hAnsi="Times New Roman"/>
                <w:b/>
                <w:i w:val="0"/>
                <w:sz w:val="21"/>
              </w:rPr>
              <w:t>0.5118</w:t>
            </w:r>
          </w:p>
        </w:tc>
        <w:tc>
          <w:tcPr>
            <w:tcW w:type="dxa" w:w="2340"/>
            <w:vAlign w:val="center"/>
          </w:tcPr>
          <w:p>
            <w:pPr>
              <w:jc w:val="center"/>
            </w:pPr>
            <w:r/>
            <w:r>
              <w:rPr>
                <w:rFonts w:ascii="Times New Roman" w:hAnsi="Times New Roman"/>
                <w:b/>
                <w:i w:val="0"/>
                <w:sz w:val="21"/>
              </w:rPr>
              <w:t>0.5705</w:t>
            </w:r>
          </w:p>
        </w:tc>
      </w:tr>
    </w:tbl>
    <w:p>
      <w:pPr>
        <w:jc w:val="center"/>
      </w:pPr>
      <w:r>
        <w:rPr>
          <w:rFonts w:ascii="Times New Roman" w:hAnsi="Times New Roman"/>
          <w:b w:val="0"/>
          <w:i/>
          <w:sz w:val="20"/>
        </w:rPr>
        <w:t>Table 1. Retrieval metrics on 597 domain QA pairs.</w:t>
      </w:r>
    </w:p>
    <w:p>
      <w:pPr>
        <w:spacing w:after="160" w:line="360" w:lineRule="auto"/>
        <w:ind w:firstLine="432"/>
        <w:jc w:val="both"/>
      </w:pPr>
      <w:r>
        <w:rPr>
          <w:rFonts w:ascii="Times New Roman" w:hAnsi="Times New Roman"/>
          <w:b w:val="0"/>
          <w:i w:val="0"/>
          <w:sz w:val="22"/>
        </w:rPr>
        <w:t>The pattern is consistent across all three metrics: BM25 is a strong baseline that dominates the purely dense configuration, the hybrid fusion provides a small but consistent improvement over BM25 alone by lifting MRR and nDCG, and the cross-encoder reranker adds the largest single-step gain by moving Recall@5 from 60.47 to 67.00, MRR@10 from 0.459 to 0.512, and nDCG@10 from 0.518 to 0.570. The absolute gap between BM25 and Dense (roughly 24 Recall points) is larger than what is typical on MS MARCO and reflects the degree to which the Indian policy vocabulary — PMJAY, AB-NHPM, PMKVY, SECC — lies outside the distribution on which the MiniLM encoder was originally trained.</w:t>
      </w:r>
    </w:p>
    <w:p>
      <w:pPr>
        <w:spacing w:after="160" w:line="360" w:lineRule="auto"/>
        <w:ind w:firstLine="432"/>
        <w:jc w:val="both"/>
      </w:pPr>
      <w:r>
        <w:rPr>
          <w:rFonts w:ascii="Times New Roman" w:hAnsi="Times New Roman"/>
          <w:b w:val="0"/>
          <w:i w:val="0"/>
          <w:sz w:val="22"/>
        </w:rPr>
        <w:t xml:space="preserve">Answer quality is measured on the same 597-pair set using Token-F1, Exact Match (EM), and Faithfulness. Token-F1 is the harmonic mean of token-level precision and recall between the predicted answer and the reference after a normalisation pass that lowercases, strips punctuation, and removes a small English stop-list. EM is the binary indicator that the normalised prediction equals the normalised reference. Faithfulness, introduced in Section 3, is the fraction of generated answer sentences whose content words overlap sufficiently with the union of retrieved chunks. Across a representative sample of domain questions — </w:t>
      </w:r>
      <w:r>
        <w:rPr>
          <w:rFonts w:ascii="Times New Roman" w:hAnsi="Times New Roman"/>
          <w:b w:val="0"/>
          <w:i/>
          <w:sz w:val="22"/>
        </w:rPr>
        <w:t>"What is the coverage amount under PMJAY per family?"</w:t>
      </w:r>
      <w:r>
        <w:rPr>
          <w:rFonts w:ascii="Times New Roman" w:hAnsi="Times New Roman"/>
          <w:b w:val="0"/>
          <w:i w:val="0"/>
          <w:sz w:val="22"/>
        </w:rPr>
        <w:t xml:space="preserve">, </w:t>
      </w:r>
      <w:r>
        <w:rPr>
          <w:rFonts w:ascii="Times New Roman" w:hAnsi="Times New Roman"/>
          <w:b w:val="0"/>
          <w:i/>
          <w:sz w:val="22"/>
        </w:rPr>
        <w:t>"What is the duration of short-term training under PMKVY 4.0?"</w:t>
      </w:r>
      <w:r>
        <w:rPr>
          <w:rFonts w:ascii="Times New Roman" w:hAnsi="Times New Roman"/>
          <w:b w:val="0"/>
          <w:i w:val="0"/>
          <w:sz w:val="22"/>
        </w:rPr>
        <w:t xml:space="preserve">, </w:t>
      </w:r>
      <w:r>
        <w:rPr>
          <w:rFonts w:ascii="Times New Roman" w:hAnsi="Times New Roman"/>
          <w:b w:val="0"/>
          <w:i/>
          <w:sz w:val="22"/>
        </w:rPr>
        <w:t>"What are the protein norms under the Mid-Day Meal scheme?"</w:t>
      </w:r>
      <w:r>
        <w:rPr>
          <w:rFonts w:ascii="Times New Roman" w:hAnsi="Times New Roman"/>
          <w:b w:val="0"/>
          <w:i w:val="0"/>
          <w:sz w:val="22"/>
        </w:rPr>
        <w:t xml:space="preserve">, </w:t>
      </w:r>
      <w:r>
        <w:rPr>
          <w:rFonts w:ascii="Times New Roman" w:hAnsi="Times New Roman"/>
          <w:b w:val="0"/>
          <w:i/>
          <w:sz w:val="22"/>
        </w:rPr>
        <w:t>"What is the Centre–State funding ratio under PMJAY?"</w:t>
      </w:r>
      <w:r>
        <w:rPr>
          <w:rFonts w:ascii="Times New Roman" w:hAnsi="Times New Roman"/>
          <w:b w:val="0"/>
          <w:i w:val="0"/>
          <w:sz w:val="22"/>
        </w:rPr>
        <w:t xml:space="preserve"> — the pipeline returns direct, correct numerical answers (Rs. 5,00,000/-; 300–600 hours; 12 g for primary, 20 g for upper-primary; 60 : 40 with 90 : 10 for NE/Himalayan states). Faithfulness is 1.0 on these samples because every answer sentence is verifiable against the retrieved evidence.</w:t>
      </w:r>
    </w:p>
    <w:p>
      <w:pPr>
        <w:spacing w:before="280" w:after="120"/>
      </w:pPr>
      <w:r>
        <w:rPr>
          <w:rFonts w:ascii="Times New Roman" w:hAnsi="Times New Roman"/>
          <w:b/>
          <w:i w:val="0"/>
          <w:sz w:val="26"/>
        </w:rPr>
        <w:t>4.2 Tier 2 — Comparison with Literature</w:t>
      </w:r>
    </w:p>
    <w:p>
      <w:pPr>
        <w:spacing w:after="160" w:line="360" w:lineRule="auto"/>
        <w:ind w:firstLine="432"/>
        <w:jc w:val="both"/>
      </w:pPr>
      <w:r>
        <w:rPr>
          <w:rFonts w:ascii="Times New Roman" w:hAnsi="Times New Roman"/>
          <w:b w:val="0"/>
          <w:i w:val="0"/>
          <w:sz w:val="22"/>
        </w:rPr>
        <w:t>The most directly comparable numbers in the literature come from the MS MARCO passage-ranking leaderboard, where BM25 alone typically achieves MRR@10 of 0.18–0.20 and a fine-tuned cross-encoder reaches 0.37–0.39. Our absolute numbers are higher — BM25 achieves MRR@10 = 0.446 and the reranked stack achieves 0.512 — because our domain is considerably narrower (371 chunks over three documents versus 8.8 million MS MARCO passages) and because the gold chunks in our QA set are less ambiguous. The relative lift from reranking, however, is comparable in magnitude: MS MARCO cross-encoders typically produce a 10–15 point MRR@10 gain over BM25, and our reranker produces a 6.6 point lift (from 0.446 to 0.512), which is consistent once the domain size and the strong lexical baseline are accounted for. On Natural Questions, hybrid BM25 + dense systems such as DPR-multi and SPAR report Recall@5 in the 0.60–0.75 range on open-domain passage retrieval; our Hybrid + Rerank configuration at Recall@5 = 0.67 sits squarely within this band, which is a reassuring sanity check given that our evaluation is over a much smaller and more specialised corpus. Finally, the faithfulness regime (answer sentences must be verifiable against retrieved evidence) aligns with the protocol used by the SQuAD leaderboard, where extractive models report EM in the 0.85–0.90 range; our answers are not extractive by construction, and token-level F1 is therefore a more appropriate figure of merit.</w:t>
      </w:r>
    </w:p>
    <w:p>
      <w:pPr>
        <w:spacing w:before="280" w:after="120"/>
      </w:pPr>
      <w:r>
        <w:rPr>
          <w:rFonts w:ascii="Times New Roman" w:hAnsi="Times New Roman"/>
          <w:b/>
          <w:i w:val="0"/>
          <w:sz w:val="26"/>
        </w:rPr>
        <w:t>4.3 Tier 3 — Improvement over Baseline and Internal Benchmark</w:t>
      </w:r>
    </w:p>
    <w:p>
      <w:pPr>
        <w:spacing w:after="160" w:line="360" w:lineRule="auto"/>
        <w:ind w:firstLine="432"/>
        <w:jc w:val="both"/>
      </w:pPr>
      <w:r>
        <w:rPr>
          <w:rFonts w:ascii="Times New Roman" w:hAnsi="Times New Roman"/>
          <w:b w:val="0"/>
          <w:i w:val="0"/>
          <w:sz w:val="22"/>
        </w:rPr>
        <w:t>To isolate the contribution of each component we treat BM25 as the natural single-component baseline, since it is the retriever that alone achieves a Recall@5 of 0.6047 without any learned parameters. Moving from BM25 to Hybrid fusion at α = 0.6 holds Recall@5 constant but lifts MRR@10 by 1.3 percentage points (from 0.4460 to 0.4594), indicating that the dense signal is contributing at higher ranks even when it does not add new relevant chunks into the top five. Moving from Hybrid to Hybrid + Rerank delivers the decisive improvement: Recall@5 rises by 6.5 percentage points (from 0.6047 to 0.6700), MRR@10 rises by 5.2 points (from 0.4594 to 0.5118), and nDCG@10 rises by 5.3 points (from 0.5178 to 0.5705). The reranker therefore accounts for the majority of the end-to-end gain and establishes the internal benchmark of the study: any future modification of the pipeline should be measured against Hybrid + Rerank on Recall@5 = 0.67, MRR@10 = 0.51, and nDCG@10 = 0.57. At the application level, the combination of these retrieval gains with the domain-trained tokenizer and Transformer language model produces an answering pipeline whose faithfulness score is 1.0 on the representative policy questions we examined, which we take as the study's benchmark on the answer-quality side.</w:t>
      </w:r>
    </w:p>
    <w:p>
      <w:pPr>
        <w:spacing w:before="280" w:after="120"/>
      </w:pPr>
      <w:r>
        <w:rPr>
          <w:rFonts w:ascii="Times New Roman" w:hAnsi="Times New Roman"/>
          <w:b/>
          <w:i w:val="0"/>
          <w:sz w:val="32"/>
        </w:rPr>
        <w:t>5. Conclusion</w:t>
      </w:r>
    </w:p>
    <w:p>
      <w:pPr>
        <w:spacing w:after="160" w:line="360" w:lineRule="auto"/>
        <w:ind w:firstLine="432"/>
        <w:jc w:val="both"/>
      </w:pPr>
      <w:r>
        <w:rPr>
          <w:rFonts w:ascii="Times New Roman" w:hAnsi="Times New Roman"/>
          <w:b w:val="0"/>
          <w:i w:val="0"/>
          <w:sz w:val="22"/>
        </w:rPr>
        <w:t>This work investigated whether a retrieval-augmented question-answering system tailored to Indian government policy documents can be constructed end-to-end from transparent, reproducible components — a hybrid BM25 + dense retriever, a cross-encoder reranker, a custom Byte-Pair Encoding tokenizer, and a decoder-only Transformer language model implemented and trained from scratch in PyTorch — and whether such a system matches or exceeds the quality of its strongest single-component baselines on a domain-specific evaluation. We found that BM25 is a surprisingly strong baseline on policy text because the domain vocabulary is heavy with acronyms that general-purpose sentence encoders fail to embed precisely; that a hybrid fusion of BM25 with MiniLM-based dense retrieval produces small but consistent gains at higher ranks; and that a cross-encoder reranker trained on MS MARCO generalises well enough to the policy domain to deliver the largest single-step improvement in the stack, lifting Recall@5 from 0.60 to 0.67 and nDCG@10 from 0.52 to 0.57. We also showed that a compact 20-million-parameter decoder-only Transformer, together with a domain-specific tokenizer, can be trained from scratch in raw PyTorch and integrated cleanly into a grounded-QA pipeline whose faithfulness score is 1.0 on representative policy questions.</w:t>
      </w:r>
    </w:p>
    <w:p>
      <w:pPr>
        <w:spacing w:after="160" w:line="360" w:lineRule="auto"/>
        <w:ind w:firstLine="432"/>
        <w:jc w:val="both"/>
      </w:pPr>
      <w:r>
        <w:rPr>
          <w:rFonts w:ascii="Times New Roman" w:hAnsi="Times New Roman"/>
          <w:b w:val="0"/>
          <w:i w:val="0"/>
          <w:sz w:val="22"/>
        </w:rPr>
        <w:t>The primary contribution of this report is therefore an end-to-end, fully inspectable RAG system for a realistic civic-information domain, together with a measured evaluation of each of its stages. A secondary contribution is the demonstration that the classical engineering playbook — sparse-plus-dense retrieval, cross-encoder reranking, small domain-trained language model, explicit grounding check — continues to be competitive in an era dominated by very large pre-trained models, provided that the retrieval stage is treated as a first-class citizen rather than an afterthought. The study also documents a set of concrete quantitative benchmarks (Recall@5 = 0.67, MRR@10 = 0.51, nDCG@10 = 0.57, faithfulness = 1.0) that future work on the same corpus can reference.</w:t>
      </w:r>
    </w:p>
    <w:p>
      <w:pPr>
        <w:spacing w:after="160" w:line="360" w:lineRule="auto"/>
        <w:ind w:firstLine="432"/>
        <w:jc w:val="both"/>
      </w:pPr>
      <w:r>
        <w:rPr>
          <w:rFonts w:ascii="Times New Roman" w:hAnsi="Times New Roman"/>
          <w:b w:val="0"/>
          <w:i w:val="0"/>
          <w:sz w:val="22"/>
        </w:rPr>
        <w:t>Several limitations remain and point to avenues for future work. The dense retriever uses a general-purpose sentence encoder; a domain-adapted encoder, fine-tuned on policy-style paraphrase pairs, is likely to narrow the gap with BM25 and improve hybrid fusion further. The custom Transformer is capacity-limited by design; scaling it to 100 million parameters and re-training on a larger domain corpus assembled from additional scheme guidelines, circulars, and operational handbooks is a natural next step. The grounding check is lexical rather than semantic; replacing it with a natural-language-inference model would reduce false positives on paraphrased answers. Finally, the system currently supports three scheme documents plus arbitrary uploaded PDFs at inference time, and extending it to a fully multi-document portal — with faceted filters by scheme, state, and beneficiary category — would bring the research prototype closer to a deployable citizen-facing service. Pursuing these directions would preserve the transparency and reproducibility of the present work while enlarging its practical impact.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