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</w:rPr>
      </w:pPr>
      <w:bookmarkStart w:colFirst="0" w:colLast="0" w:name="_jmkd3a4vmxlz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Dotreniravanje LLM-ova s podacima iz medicinskih smjernica</w:t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Tehnička dokumentacija</w:t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Verzija &lt;1.0&gt;</w:t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Studentski tim: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Lara Ćorić</w:t>
      </w:r>
    </w:p>
    <w:p w:rsidR="00000000" w:rsidDel="00000000" w:rsidP="00000000" w:rsidRDefault="00000000" w:rsidRPr="00000000" w14:paraId="00000009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Ana Gašperov</w:t>
      </w:r>
    </w:p>
    <w:p w:rsidR="00000000" w:rsidDel="00000000" w:rsidP="00000000" w:rsidRDefault="00000000" w:rsidRPr="00000000" w14:paraId="0000000A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Jana Gazdek</w:t>
      </w:r>
    </w:p>
    <w:p w:rsidR="00000000" w:rsidDel="00000000" w:rsidP="00000000" w:rsidRDefault="00000000" w:rsidRPr="00000000" w14:paraId="0000000B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Mia Krstičević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jc w:val="right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Nastavnik: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Izv. prof. dr. sc. Alan Jović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Sadržaj</w:t>
      </w:r>
    </w:p>
    <w:sdt>
      <w:sdtPr>
        <w:id w:val="-12687634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Opis razvijenog proizvoda</w:t>
            <w:tab/>
          </w:r>
          <w:r w:rsidDel="00000000" w:rsidR="00000000" w:rsidRPr="00000000">
            <w:fldChar w:fldCharType="begin"/>
            <w:instrText xml:space="preserve"> PAGEREF _w0fddzuhqq74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"_w0fddzuhqq74"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Tehničke značajke</w:t>
            <w:tab/>
          </w:r>
          <w:r w:rsidDel="00000000" w:rsidR="00000000" w:rsidRPr="00000000">
            <w:fldChar w:fldCharType="begin"/>
            <w:instrText xml:space="preserve"> PAGEREF _2ujjcil0wkv0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"_2ujjcil0wkv0"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Upute za korištenje</w:t>
            <w:tab/>
          </w:r>
          <w:r w:rsidDel="00000000" w:rsidR="00000000" w:rsidRPr="00000000">
            <w:fldChar w:fldCharType="begin"/>
            <w:instrText xml:space="preserve"> PAGEREF _9jueznjktawh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"_9jueznjktawh"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Literatura</w:t>
            <w:tab/>
          </w:r>
          <w:r w:rsidDel="00000000" w:rsidR="00000000" w:rsidRPr="00000000">
            <w:fldChar w:fldCharType="begin"/>
            <w:instrText xml:space="preserve"> PAGEREF _fyxnd4b9wj93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"_fyxnd4b9wj93"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Tehnička dokumentacija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5"/>
        </w:numPr>
        <w:rPr/>
      </w:pPr>
      <w:bookmarkStart w:colFirst="0" w:colLast="0" w:name="_w0fddzuhqq74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Opis razvijenog proizvoda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Prikupljanje i predobrada podataka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početnoj fazi projekta korišteno je pet kliničkih smjernica Europskog kardiološkog društva (ESC Guidelines), preuzetih sa službene mrežne stranice [1]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https://www.escardio.org/Guidelines/Clinical-Practice-Guidelines</w:t>
        </w:r>
      </w:hyperlink>
      <w:r w:rsidDel="00000000" w:rsidR="00000000" w:rsidRPr="00000000">
        <w:rPr>
          <w:sz w:val="24"/>
          <w:szCs w:val="24"/>
          <w:rtl w:val="0"/>
        </w:rPr>
        <w:t xml:space="preserve">. Analizirani dokumenti obuhvaćali su smjernice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Valvular Heart Disease</w:t>
      </w:r>
      <w:r w:rsidDel="00000000" w:rsidR="00000000" w:rsidRPr="00000000">
        <w:rPr>
          <w:sz w:val="24"/>
          <w:szCs w:val="24"/>
          <w:rtl w:val="0"/>
        </w:rPr>
        <w:t xml:space="preserve"> (2025),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Dyslipidaemias</w:t>
      </w:r>
      <w:r w:rsidDel="00000000" w:rsidR="00000000" w:rsidRPr="00000000">
        <w:rPr>
          <w:sz w:val="24"/>
          <w:szCs w:val="24"/>
          <w:rtl w:val="0"/>
        </w:rPr>
        <w:t xml:space="preserve"> (2025),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Elevated Blood Pressure and Hypertension</w:t>
      </w:r>
      <w:r w:rsidDel="00000000" w:rsidR="00000000" w:rsidRPr="00000000">
        <w:rPr>
          <w:sz w:val="24"/>
          <w:szCs w:val="24"/>
          <w:rtl w:val="0"/>
        </w:rPr>
        <w:t xml:space="preserve"> (2024),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Atrial Fibrillation</w:t>
      </w:r>
      <w:r w:rsidDel="00000000" w:rsidR="00000000" w:rsidRPr="00000000">
        <w:rPr>
          <w:sz w:val="24"/>
          <w:szCs w:val="24"/>
          <w:rtl w:val="0"/>
        </w:rPr>
        <w:t xml:space="preserve"> (2024) 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Ventricular Arrhythmias and the Prevention of Sudden Cardiac Death</w:t>
      </w:r>
      <w:r w:rsidDel="00000000" w:rsidR="00000000" w:rsidRPr="00000000">
        <w:rPr>
          <w:sz w:val="24"/>
          <w:szCs w:val="24"/>
          <w:rtl w:val="0"/>
        </w:rPr>
        <w:t xml:space="preserve"> (2022). Iz navedenih izvora prikupljeno je ukupno 250 smjernica.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Svaka smjernica oblikovana je kao par pitanje–odgovor, pri čemu su pitanja i odgovori osmišljeni i izvedeni iz sadržaja izvornih članaka. Budući da su dokumenti bili dostupni u PDF formatu, bilo ih je potrebno parsirati i transformirati u strukturirani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.json</w:t>
      </w:r>
      <w:r w:rsidDel="00000000" w:rsidR="00000000" w:rsidRPr="00000000">
        <w:rPr>
          <w:sz w:val="24"/>
          <w:szCs w:val="24"/>
          <w:rtl w:val="0"/>
        </w:rPr>
        <w:t xml:space="preserve"> format prikladan za postupak fine-tunanja jezičnog modela. Parsiranje članaka provedeno je uz pomoć LLaMA AI parsera. Prompt korišten za parsiranje bio je dizajniran tako da osigura uključivanje svih tablica, opisivanje svih slika i grafova te pravilnu i konzistentnu ekstrakciju teksta.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Dobiveni podaci organizirani su u JSON strukturu s značajkama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page</w:t>
      </w:r>
      <w:r w:rsidDel="00000000" w:rsidR="00000000" w:rsidRPr="00000000">
        <w:rPr>
          <w:sz w:val="24"/>
          <w:szCs w:val="24"/>
          <w:rtl w:val="0"/>
        </w:rPr>
        <w:t xml:space="preserve"> 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</w:t>
      </w:r>
      <w:r w:rsidDel="00000000" w:rsidR="00000000" w:rsidRPr="00000000">
        <w:rPr>
          <w:sz w:val="24"/>
          <w:szCs w:val="24"/>
          <w:rtl w:val="0"/>
        </w:rPr>
        <w:t xml:space="preserve">, gdje je svaki zapis sadržavao broj stranice i pripadajući tekstualni sadržaj. Uočene nepravilnosti u JSON zapisima, poput viška uglatih zagrada ili strukturnih nekonzistentnosti, dodatno su ispravljene korištenjem prilagođenih Python skripti.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Tijekom faze obrade podataka identificirana je značajna količina šuma u parsiranom tekstu, koji je bilo nužno ukloniti prije fine-tunanja modela. U tu svrhu implementirana je funkcija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clean_text()</w:t>
      </w:r>
      <w:r w:rsidDel="00000000" w:rsidR="00000000" w:rsidRPr="00000000">
        <w:rPr>
          <w:sz w:val="24"/>
          <w:szCs w:val="24"/>
          <w:rtl w:val="0"/>
        </w:rPr>
        <w:t xml:space="preserve">, kojom se tekst obrađivao u batch-evima. Tom funkcijom uklanjane su oznake za novi red, dijelovi vezani uz reference i citiranja, standardne oznake unutar članaka poput „ESC Guidelines“, višestruki tabulatori, numeričke oznake poglavlja i potpoglavlja, URL-ovi te suvišna interpunkcija i artefakti generirani parserom.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Dodatno, pomoću funkcije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remove_repeat()</w:t>
      </w:r>
      <w:r w:rsidDel="00000000" w:rsidR="00000000" w:rsidRPr="00000000">
        <w:rPr>
          <w:sz w:val="24"/>
          <w:szCs w:val="24"/>
          <w:rtl w:val="0"/>
        </w:rPr>
        <w:t xml:space="preserve"> uklonjene su ponavljajuće rečenice unutar pojedinih stranica, ukoliko su bile prisutne. Nakon završetka faze čišćenja i obrade podataka pristupilo se glavnoj fazi projekta, odnosno fine-tunanju modela. Prije samog treniranja provedena je tokenizacija korištenjem klase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AutoTokenizer</w:t>
      </w:r>
      <w:r w:rsidDel="00000000" w:rsidR="00000000" w:rsidRPr="00000000">
        <w:rPr>
          <w:sz w:val="24"/>
          <w:szCs w:val="24"/>
          <w:rtl w:val="0"/>
        </w:rPr>
        <w:t xml:space="preserve">, pri čemu je maksimalna duljina ulaznog niza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max_length</w:t>
      </w:r>
      <w:r w:rsidDel="00000000" w:rsidR="00000000" w:rsidRPr="00000000">
        <w:rPr>
          <w:sz w:val="24"/>
          <w:szCs w:val="24"/>
          <w:rtl w:val="0"/>
        </w:rPr>
        <w:t xml:space="preserve">) postavljena na 2048 tokena.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Fine tuning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Kao baza korišten je Mistral (Mistral-7B-v0.3) model. Prvi ključni korak bila je priprema tokenizera.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Umjesto treniranja svih sedam milijardi parametara, što je skupo i sporo, korištena je QLoRA (Quantized Low-Rank Adaptation) tehnika. Prvo je primijenjena 4-bitna kvantizacija pomoću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bitsandbytes</w:t>
      </w:r>
      <w:r w:rsidDel="00000000" w:rsidR="00000000" w:rsidRPr="00000000">
        <w:rPr>
          <w:sz w:val="24"/>
          <w:szCs w:val="24"/>
          <w:rtl w:val="0"/>
        </w:rPr>
        <w:t xml:space="preserve"> biblioteke, čime je drastično smanjena potrošnja VRAM-a bez gubitka bitnih informacija. Uz pomoć LoRA-e nadalje se zamrzavaju težine osnovnog modela i dodaju mali, trenirani adapteri. Ovim pristupom trenira se samo mali postotak dodatnih parametara koji uče specifični rječnik i domensko znanje članaka.</w:t>
      </w:r>
    </w:p>
    <w:p w:rsidR="00000000" w:rsidDel="00000000" w:rsidP="00000000" w:rsidRDefault="00000000" w:rsidRPr="00000000" w14:paraId="0000003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modelom koji je sada spreman za učenje, model se šalje u SFT Trainer, uz unaprijed definirane parametre treniranja. Odabrana konfiguracija pokazala se najboljom jer je postigla dobar rezultat bez prevelikih pogrešaka, ali i bez preniskog gubitka koji bi upućivao na opasnost od prenaučenosti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overfittinga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ovom koraku provedeno je sustavno podešavanje hiperparametara uz korištenje validacijskog skupa. Podaci su podijeljeni na train i validation, a više konfiguracija ispitano je s ciljem postizanja stabilno niskog gubitka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loss</w:t>
      </w:r>
      <w:r w:rsidDel="00000000" w:rsidR="00000000" w:rsidRPr="00000000">
        <w:rPr>
          <w:sz w:val="24"/>
          <w:szCs w:val="24"/>
          <w:rtl w:val="0"/>
        </w:rPr>
        <w:t xml:space="preserve">) na trenirajućem i validacijskom skupu. Optimalni parametri odabrani su prema ravnoteži između ta dva rezultata, kako bi se izbjegli i prenaučenost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overfitting</w:t>
      </w:r>
      <w:r w:rsidDel="00000000" w:rsidR="00000000" w:rsidRPr="00000000">
        <w:rPr>
          <w:sz w:val="24"/>
          <w:szCs w:val="24"/>
          <w:rtl w:val="0"/>
        </w:rPr>
        <w:t xml:space="preserve">) i podnaučenost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underfitting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Nakon uspješnog domain fine-tuninga proveden je instruction fine-tuning. Budući da je osnovni (base) model primarno generator koji nastavlja niz tokena, bilo ga je potrebno dodatno naučiti da se ponaša kao asistent, odnosno da odgovara na pitanja u očekivanom formatu. Zato je pripremljen dodatni skup podataka od 300 instrukcijskih primjera u obliku instruction–input–output. Cilj ovog koraka bio je da model pouzdano prepoznaje upit, koristi naučeni kontekst i generira smislen, koristan odgovor u skladu sa stilom koji korisnik očekuje. Rezultat je instruction model koji je domenski prilagođen smjernicama i sposoban davati relevantne odgovore temeljene na tom znanju.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LLM as judge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Ova Jupyter bilježnica predstavlja sustav za automatizirano testiranje i evaluaciju modela umjetne inteligencije u medicinskoj domeni koristeći pristup poznat kao LLM as a Judge. Glavna poanta ove datoteke je iskoristiti napredni jezični model (u našem slučaju Google Gemini) kao stručni sudac koji procjenjuje točnost i kvalitetu odgovora koje generira drugi, specifično trenirani AI model.</w:t>
      </w:r>
    </w:p>
    <w:p w:rsidR="00000000" w:rsidDel="00000000" w:rsidP="00000000" w:rsidRDefault="00000000" w:rsidRPr="00000000" w14:paraId="00000037">
      <w:pPr>
        <w:keepLines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Skripta na početku učitava bazu testnih pitanja iz Excel datoteke zajedno s unaprijed definiranim referentnim odgovorima koje smo pripremili i zapisali u tablici. Nakon pripreme podataka, kod prolazi kroz svako pitanje, generira odgovor pomoću ciljnog modela, a zatim šalje par odgovor i referentni odgovor modelu sucu uz detaljne upute za ocjenjivanje.</w:t>
      </w:r>
    </w:p>
    <w:p w:rsidR="00000000" w:rsidDel="00000000" w:rsidP="00000000" w:rsidRDefault="00000000" w:rsidRPr="00000000" w14:paraId="00000038">
      <w:pPr>
        <w:keepLines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sudac analizira odgovor prema strogim kriterijima kao što su točnost, potpunost, preciznost brojčanih podataka, prisutnost halucinacija i potencijalni klinički rizik za pacijenta. Rezultat analize je strukturirani JSON zapis koji sadrži ocjene i kratka obrazloženja za svaku kategoriju, a sve se na kraju sprema u izvještaj za kasniju analizu.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5"/>
        </w:numPr>
        <w:rPr/>
      </w:pPr>
      <w:bookmarkStart w:colFirst="0" w:colLast="0" w:name="_2ujjcil0wkv0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Tehničke značajke</w:t>
      </w:r>
    </w:p>
    <w:p w:rsidR="00000000" w:rsidDel="00000000" w:rsidP="00000000" w:rsidRDefault="00000000" w:rsidRPr="00000000" w14:paraId="0000003B">
      <w:pPr>
        <w:pStyle w:val="Heading3"/>
        <w:keepNext w:val="0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f2vax65funy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1. Arhitektura modela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Glavni modeli korišteni u ovom projektu su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Mistral-7B-v0.3 i Mistral-7B-Instruct-v0.3</w:t>
      </w:r>
      <w:r w:rsidDel="00000000" w:rsidR="00000000" w:rsidRPr="00000000">
        <w:rPr>
          <w:sz w:val="24"/>
          <w:szCs w:val="24"/>
          <w:rtl w:val="0"/>
        </w:rPr>
        <w:t xml:space="preserve">, jezični model temeljen na Transformer (decoder-only) arhitekturi</w:t>
      </w:r>
      <w:r w:rsidDel="00000000" w:rsidR="00000000" w:rsidRPr="00000000">
        <w:rPr>
          <w:sz w:val="24"/>
          <w:szCs w:val="24"/>
          <w:rtl w:val="0"/>
        </w:rPr>
        <w:t xml:space="preserve"> s približno 7 milijardi parametara. Za usporedbu performansi testiran je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Qwen-7B</w:t>
      </w:r>
      <w:r w:rsidDel="00000000" w:rsidR="00000000" w:rsidRPr="00000000">
        <w:rPr>
          <w:sz w:val="24"/>
          <w:szCs w:val="24"/>
          <w:rtl w:val="0"/>
        </w:rPr>
        <w:t xml:space="preserve"> model. </w:t>
      </w:r>
    </w:p>
    <w:p w:rsidR="00000000" w:rsidDel="00000000" w:rsidP="00000000" w:rsidRDefault="00000000" w:rsidRPr="00000000" w14:paraId="0000003D">
      <w:pPr>
        <w:pStyle w:val="Heading4"/>
        <w:keepNext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msyfx7a24q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Metoda optimizacije i prilagodbe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Optimizacija:</w:t>
      </w:r>
      <w:r w:rsidDel="00000000" w:rsidR="00000000" w:rsidRPr="00000000">
        <w:rPr>
          <w:sz w:val="24"/>
          <w:szCs w:val="24"/>
          <w:rtl w:val="0"/>
        </w:rPr>
        <w:t xml:space="preserve"> QLoRA (4-bitna kvantizacija s NF4 tipom podataka)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Adapteri:</w:t>
      </w:r>
      <w:r w:rsidDel="00000000" w:rsidR="00000000" w:rsidRPr="00000000">
        <w:rPr>
          <w:sz w:val="24"/>
          <w:szCs w:val="24"/>
          <w:rtl w:val="0"/>
        </w:rPr>
        <w:t xml:space="preserve"> LoRA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Rank: 8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Scaling factor (α): 32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Ciljani moduli: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q_proj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k_proj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v_proj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o_proj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gate_proj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up_proj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down_proj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Kontekstni prozor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2048 tokena</w:t>
      </w:r>
    </w:p>
    <w:p w:rsidR="00000000" w:rsidDel="00000000" w:rsidP="00000000" w:rsidRDefault="00000000" w:rsidRPr="00000000" w14:paraId="00000044">
      <w:pPr>
        <w:pStyle w:val="Heading3"/>
        <w:keepNext w:val="0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gt1h7t8ao86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2. Trening i fino podešavanje</w:t>
      </w:r>
    </w:p>
    <w:p w:rsidR="00000000" w:rsidDel="00000000" w:rsidP="00000000" w:rsidRDefault="00000000" w:rsidRPr="00000000" w14:paraId="00000045">
      <w:pPr>
        <w:pStyle w:val="Heading4"/>
        <w:keepNext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</w:rPr>
      </w:pPr>
      <w:bookmarkStart w:colFirst="0" w:colLast="0" w:name="_rhrr3c3jltx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Domain-adaptive fine-tuning (DAFT)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Cilj: </w:t>
      </w:r>
      <w:r w:rsidDel="00000000" w:rsidR="00000000" w:rsidRPr="00000000">
        <w:rPr>
          <w:sz w:val="24"/>
          <w:szCs w:val="24"/>
          <w:rtl w:val="0"/>
        </w:rPr>
        <w:t xml:space="preserve">domenska prilagodba modela treniranjem na medicinskim smjernicama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Optimizacijski algoritam:</w:t>
      </w:r>
      <w:r w:rsidDel="00000000" w:rsidR="00000000" w:rsidRPr="00000000">
        <w:rPr>
          <w:sz w:val="24"/>
          <w:szCs w:val="24"/>
          <w:rtl w:val="0"/>
        </w:rPr>
        <w:t xml:space="preserve"> Paged AdamW 8-bit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Stopa učenja:</w:t>
      </w:r>
      <w:r w:rsidDel="00000000" w:rsidR="00000000" w:rsidRPr="00000000">
        <w:rPr>
          <w:sz w:val="24"/>
          <w:szCs w:val="24"/>
          <w:rtl w:val="0"/>
        </w:rPr>
        <w:t xml:space="preserve"> 2 × 10⁻⁴, s Cosine schedulerom za postupno smanjenje brzine učenja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 size:</w:t>
      </w:r>
      <w:r w:rsidDel="00000000" w:rsidR="00000000" w:rsidRPr="00000000">
        <w:rPr>
          <w:sz w:val="24"/>
          <w:szCs w:val="24"/>
          <w:rtl w:val="0"/>
        </w:rPr>
        <w:t xml:space="preserve"> Efektivni batch size od 8 (2 po GPU-u s 4 koraka akumulacije gradijenata)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Preciznost:</w:t>
      </w:r>
      <w:r w:rsidDel="00000000" w:rsidR="00000000" w:rsidRPr="00000000">
        <w:rPr>
          <w:sz w:val="24"/>
          <w:szCs w:val="24"/>
          <w:rtl w:val="0"/>
        </w:rPr>
        <w:t xml:space="preserve"> bfloat16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Tehnike učinkovitosti:</w:t>
      </w:r>
      <w:r w:rsidDel="00000000" w:rsidR="00000000" w:rsidRPr="00000000">
        <w:rPr>
          <w:sz w:val="24"/>
          <w:szCs w:val="24"/>
          <w:rtl w:val="0"/>
        </w:rPr>
        <w:t xml:space="preserve"> Gradient Checkpointing i Packing (spajanje više uzoraka u jedan blok radi optimizacije memorijske potrošnje i vremena treniranja)</w:t>
      </w:r>
    </w:p>
    <w:p w:rsidR="00000000" w:rsidDel="00000000" w:rsidP="00000000" w:rsidRDefault="00000000" w:rsidRPr="00000000" w14:paraId="0000004C">
      <w:pPr>
        <w:pStyle w:val="Heading4"/>
        <w:keepNext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m8mfaoleja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Instruction Fine-Tuning (IF)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Cilj:</w:t>
      </w:r>
      <w:r w:rsidDel="00000000" w:rsidR="00000000" w:rsidRPr="00000000">
        <w:rPr>
          <w:sz w:val="24"/>
          <w:szCs w:val="24"/>
          <w:rtl w:val="0"/>
        </w:rPr>
        <w:t xml:space="preserve"> naučiti model da se ponaša kao asistent, tj. da prepoznaje instrukciju/upit i generira strukturiran, koristan odgovor u očekivanom formatu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Skup podataka:</w:t>
      </w:r>
      <w:r w:rsidDel="00000000" w:rsidR="00000000" w:rsidRPr="00000000">
        <w:rPr>
          <w:sz w:val="24"/>
          <w:szCs w:val="24"/>
          <w:rtl w:val="0"/>
        </w:rPr>
        <w:t xml:space="preserve"> instrukcijski primjeri u formatu instruction–input–output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Metoda prilagodbe:</w:t>
      </w:r>
      <w:r w:rsidDel="00000000" w:rsidR="00000000" w:rsidRPr="00000000">
        <w:rPr>
          <w:sz w:val="24"/>
          <w:szCs w:val="24"/>
          <w:rtl w:val="0"/>
        </w:rPr>
        <w:t xml:space="preserve"> LoRA adapter (nastavak na domenski prilagođenom modelu)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Biblioteke i alati:</w:t>
      </w:r>
      <w:r w:rsidDel="00000000" w:rsidR="00000000" w:rsidRPr="00000000">
        <w:rPr>
          <w:sz w:val="24"/>
          <w:szCs w:val="24"/>
          <w:rtl w:val="0"/>
        </w:rPr>
        <w:t xml:space="preserve"> transformers, trl, peft, datasets, unsloth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Treniranje:</w:t>
      </w:r>
      <w:r w:rsidDel="00000000" w:rsidR="00000000" w:rsidRPr="00000000">
        <w:rPr>
          <w:sz w:val="24"/>
          <w:szCs w:val="24"/>
          <w:rtl w:val="0"/>
        </w:rPr>
        <w:t xml:space="preserve"> nadzirano treniranje na instrukcijskim parovima (supervised instruction tuning) s ciljem stabilnog učenja bez prenaučenosti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Izlaz:</w:t>
      </w:r>
      <w:r w:rsidDel="00000000" w:rsidR="00000000" w:rsidRPr="00000000">
        <w:rPr>
          <w:sz w:val="24"/>
          <w:szCs w:val="24"/>
          <w:rtl w:val="0"/>
        </w:rPr>
        <w:t xml:space="preserve"> instruction model koji je domenski prilagođen i sposoban odgovarati na pitanja</w:t>
      </w:r>
    </w:p>
    <w:p w:rsidR="00000000" w:rsidDel="00000000" w:rsidP="00000000" w:rsidRDefault="00000000" w:rsidRPr="00000000" w14:paraId="00000053">
      <w:pPr>
        <w:pStyle w:val="Heading3"/>
        <w:keepNext w:val="0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632oxw3h6ej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4q8srbacuv9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 Podatkovni skupovi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 adaptation dataset:</w:t>
      </w:r>
      <w:r w:rsidDel="00000000" w:rsidR="00000000" w:rsidRPr="00000000">
        <w:rPr>
          <w:sz w:val="24"/>
          <w:szCs w:val="24"/>
          <w:rtl w:val="0"/>
        </w:rPr>
        <w:t xml:space="preserve"> Strukturirani tekstovi iz medicinskih i stručnih članaka, segmentirani u logičke cjeline (chunkove) radi bolje obrade konteksta.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 dataset:</w:t>
      </w:r>
      <w:r w:rsidDel="00000000" w:rsidR="00000000" w:rsidRPr="00000000">
        <w:rPr>
          <w:sz w:val="24"/>
          <w:szCs w:val="24"/>
          <w:rtl w:val="0"/>
        </w:rPr>
        <w:t xml:space="preserve"> 300 parova u formatu Instruction–Input–Output, ručno prilagođenih za ciljani domen (biomedicina i zdravstvo), osiguravajući generiranje preciznih i stručnih odgovora.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Tokenizacija: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Maksimalna duljina ulaza: 2048 tokena</w:t>
        <w:br w:type="textWrapping"/>
        <w:t xml:space="preserve">Broj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chunkova</w:t>
      </w:r>
      <w:r w:rsidDel="00000000" w:rsidR="00000000" w:rsidRPr="00000000">
        <w:rPr>
          <w:sz w:val="24"/>
          <w:szCs w:val="24"/>
          <w:rtl w:val="0"/>
        </w:rPr>
        <w:t xml:space="preserve">: 308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Duljina tokena: min=137, medijan=1086, p80=1539, max=2008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Nema ulaznih primjera dužih od 2048 tokena</w:t>
      </w:r>
    </w:p>
    <w:p w:rsidR="00000000" w:rsidDel="00000000" w:rsidP="00000000" w:rsidRDefault="00000000" w:rsidRPr="00000000" w14:paraId="0000005B">
      <w:pPr>
        <w:pStyle w:val="Heading3"/>
        <w:keepNext w:val="0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jultef8x7ct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4. Hardversko i softversko okruženje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GPU:</w:t>
      </w:r>
      <w:r w:rsidDel="00000000" w:rsidR="00000000" w:rsidRPr="00000000">
        <w:rPr>
          <w:sz w:val="24"/>
          <w:szCs w:val="24"/>
          <w:rtl w:val="0"/>
        </w:rPr>
        <w:t xml:space="preserve"> NVIDIA A100 i T4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Platforma:</w:t>
      </w:r>
      <w:r w:rsidDel="00000000" w:rsidR="00000000" w:rsidRPr="00000000">
        <w:rPr>
          <w:sz w:val="24"/>
          <w:szCs w:val="24"/>
          <w:rtl w:val="0"/>
        </w:rPr>
        <w:t xml:space="preserve"> Hugging Face (Transformers, PEFT, Accelerate)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Razvojno okruženje:</w:t>
      </w:r>
      <w:r w:rsidDel="00000000" w:rsidR="00000000" w:rsidRPr="00000000">
        <w:rPr>
          <w:sz w:val="24"/>
          <w:szCs w:val="24"/>
          <w:rtl w:val="0"/>
        </w:rPr>
        <w:t xml:space="preserve"> Jupyter/Google Colab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Softver: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Python 3.12.12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PyTorch 2.9.0+cu126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CUDA 12.6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Transformers 4.57.6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Accelerate 1.12.0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bitsandbytes 0.49.1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PEFT (LoRA adapteri)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spacing w:after="80" w:before="360" w:lineRule="auto"/>
        <w:rPr/>
      </w:pPr>
      <w:bookmarkStart w:colFirst="0" w:colLast="0" w:name="_f6kpjvcgoapd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Rezultati i zaključak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spacing w:after="40" w:before="240" w:lineRule="auto"/>
        <w:rPr/>
      </w:pPr>
      <w:bookmarkStart w:colFirst="0" w:colLast="0" w:name="_ghzh09h7e0s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Rezultati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825" w:tblpY="0"/>
        <w:tblW w:w="7935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1830"/>
        <w:gridCol w:w="1710"/>
        <w:gridCol w:w="1830"/>
        <w:tblGridChange w:id="0">
          <w:tblGrid>
            <w:gridCol w:w="2565"/>
            <w:gridCol w:w="1830"/>
            <w:gridCol w:w="1710"/>
            <w:gridCol w:w="1830"/>
          </w:tblGrid>
        </w:tblGridChange>
      </w:tblGrid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Model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domain + instruct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instruct base + domain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base instruct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correctness_avg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0.6856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0.6504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0.57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completness_avg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0.5764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0.5736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0.5288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numerical_precision_avg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0.8440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0.79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0.678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hallucinations_avg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0.238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0.2932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0.3424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clinical_risk_avg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0.234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0.268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0.292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Overall Score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0.6310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0.612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0.5494</w:t>
            </w:r>
          </w:p>
        </w:tc>
      </w:tr>
    </w:tbl>
    <w:p w:rsidR="00000000" w:rsidDel="00000000" w:rsidP="00000000" w:rsidRDefault="00000000" w:rsidRPr="00000000" w14:paraId="0000008F">
      <w:pPr>
        <w:pStyle w:val="Heading4"/>
        <w:keepNext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vb25gv7r1k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6zo2emzy4i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zt8c53s98l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dz0tswri74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keepNext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n2hwgyj7u0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vr9j5odh1r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j9bt1xvlco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2tdkm30hxk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spacing w:after="40" w:before="240" w:lineRule="auto"/>
        <w:rPr>
          <w:sz w:val="16"/>
          <w:szCs w:val="16"/>
        </w:rPr>
      </w:pPr>
      <w:bookmarkStart w:colFirst="0" w:colLast="0" w:name="_n614ys4fg26u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Zaključak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Rezultati pokazuju da fine-tuning ima pozitivan učinak, iako poboljšanja nisu ogromna. Najviše se vidi da nakon domenskog i instruction fine-tuninga model daje nešto konzistentnije i sigurnije odgovore (rjeđe halucinira i rjeđe ulazi u klinički rizične tvrdnje) Istovremeno, važno je naglasiti da je i osnovni instruct model već relativno snažan i može se solidno snaći u dijelu pitanja i bez dodatnog treniranja. Zbog toga je očekivano da dodatni fine-tuning donosi finije poboljšanje ponašanja,  više u smjeru stabilnosti, usklađenosti s medicinskim stilom i manjeg rizika od izmišljanja informacija.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konačnici, fine-tuning se isplati kao završni korak za dodatnu pouzdanost i kontrolu outputa, posebno kad je cilj medicinski kontekst.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5"/>
        </w:numPr>
        <w:rPr/>
      </w:pPr>
      <w:bookmarkStart w:colFirst="0" w:colLast="0" w:name="_9jueznjktawh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Upute za korištenje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Ovaj odjeljak opisuje kako koristiti trenirani model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Mistral LoRA medicinskog chatbota</w:t>
      </w:r>
      <w:r w:rsidDel="00000000" w:rsidR="00000000" w:rsidRPr="00000000">
        <w:rPr>
          <w:sz w:val="24"/>
          <w:szCs w:val="24"/>
          <w:rtl w:val="0"/>
        </w:rPr>
        <w:t xml:space="preserve"> za generiranje odgovora na medicinska pitanja.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numPr>
          <w:ilvl w:val="0"/>
          <w:numId w:val="6"/>
        </w:numPr>
        <w:spacing w:after="0" w:afterAutospacing="0" w:before="280" w:lineRule="auto"/>
        <w:ind w:left="720" w:hanging="360"/>
        <w:rPr>
          <w:i w:val="0"/>
          <w:iCs w:val="0"/>
          <w:sz w:val="24"/>
          <w:szCs w:val="24"/>
        </w:rPr>
      </w:pPr>
      <w:bookmarkStart w:colFirst="0" w:colLast="0" w:name="_hnb8t8si2rav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Hardverski zahtjevi: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GPU s najmanje 16 GB VRAM-a (preporučeno: NVIDIA A100, L4, RTX 3090/4090).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Minimalno 32 GB RAM-a za veće ulazne batch-eve.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Softverski zahtjevi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3.12 ili noviji.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PyTorch 2.9+ s podrškom za CUDA.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za preuzimanje repozitorija.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Colab ili lokalno okruženje s GPU podrškom (ovisno o dostupnosti hardvera)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Hugging Face račun i pristupni token (za prijavu i preuzimanje modela, ako je potrebno)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Preuzimanje koda: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git clone https://github.com/lara-coric/medical-guidelines-llm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cd medical-guidelines-llm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Pokretanje modela: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Otvori Colab i učitaj željenu .ipybn skriptu.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Slijedi upute u ćelijama (instalacija biblioteka, mount Google Drive, prijava na Hugging Face Hub).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Pokreni sve bilježnice redom: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1800" w:right="-713.3333333333344" w:hanging="359.99999999999943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fine_tune_mistralai.ipynb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treniranje domenskog LoRA adaptera na medicinskim smjernicama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1800" w:right="-713.3333333333344" w:hanging="359.99999999999943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instruction_fine_tuning.ipynb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za instrukcijsko fino podešavanje i integraciju adaptera u chat model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1800" w:right="-713.3333333333344" w:hanging="359.99999999999943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llm_as_judge.ipynb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 evaluacija kvalitete odgovora (usporedba generiranih i referentnih odgovora pomoću Gemini modela kao suca)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numPr>
          <w:ilvl w:val="0"/>
          <w:numId w:val="5"/>
        </w:numPr>
        <w:rPr>
          <w:sz w:val="32"/>
          <w:szCs w:val="32"/>
        </w:rPr>
      </w:pPr>
      <w:bookmarkStart w:colFirst="0" w:colLast="0" w:name="_fyxnd4b9wj93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Literatura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color w:val="1155cc"/>
        </w:rPr>
      </w:pPr>
      <w:r w:rsidDel="00000000" w:rsidR="00000000" w:rsidRPr="00000000">
        <w:rPr>
          <w:rtl w:val="0"/>
        </w:rPr>
        <w:t xml:space="preserve">[1] European Society of Cardiology. </w:t>
      </w:r>
      <w:r w:rsidDel="00000000" w:rsidR="00000000" w:rsidRPr="00000000">
        <w:rPr>
          <w:i w:val="1"/>
          <w:iCs w:val="1"/>
          <w:rtl w:val="0"/>
        </w:rPr>
        <w:t xml:space="preserve">Clinical Practice Guidelines</w:t>
      </w:r>
      <w:r w:rsidDel="00000000" w:rsidR="00000000" w:rsidRPr="00000000">
        <w:rPr>
          <w:rtl w:val="0"/>
        </w:rPr>
        <w:t xml:space="preserve">. European Society of Cardiology,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https://www.escardio.org/Guidelines/Clinical-Practice-Guidelines</w:t>
        </w:r>
      </w:hyperlink>
      <w:r w:rsidDel="00000000" w:rsidR="00000000" w:rsidRPr="00000000">
        <w:rPr>
          <w:rtl w:val="0"/>
        </w:rPr>
        <w:t xml:space="preserve">, pristupljeno siječanj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 Google AI. </w:t>
      </w:r>
      <w:r w:rsidDel="00000000" w:rsidR="00000000" w:rsidRPr="00000000">
        <w:rPr>
          <w:i w:val="1"/>
          <w:iCs w:val="1"/>
          <w:rtl w:val="0"/>
        </w:rPr>
        <w:t xml:space="preserve">AI Studio</w:t>
      </w:r>
      <w:r w:rsidDel="00000000" w:rsidR="00000000" w:rsidRPr="00000000">
        <w:rPr>
          <w:rtl w:val="0"/>
        </w:rPr>
        <w:t xml:space="preserve">. Google,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https://ai.google.dev/aistudio</w:t>
        </w:r>
      </w:hyperlink>
      <w:r w:rsidDel="00000000" w:rsidR="00000000" w:rsidRPr="00000000">
        <w:rPr>
          <w:rtl w:val="0"/>
        </w:rPr>
        <w:t xml:space="preserve">, pristupljeno siječanj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[3] LLaMA Index. </w:t>
      </w:r>
      <w:r w:rsidDel="00000000" w:rsidR="00000000" w:rsidRPr="00000000">
        <w:rPr>
          <w:i w:val="1"/>
          <w:iCs w:val="1"/>
          <w:rtl w:val="0"/>
        </w:rPr>
        <w:t xml:space="preserve">LLaMA Parse</w:t>
      </w:r>
      <w:r w:rsidDel="00000000" w:rsidR="00000000" w:rsidRPr="00000000">
        <w:rPr>
          <w:rtl w:val="0"/>
        </w:rPr>
        <w:t xml:space="preserve">. LLaMA Index,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https://www.llamaindex.ai/llamaparse</w:t>
        </w:r>
      </w:hyperlink>
      <w:r w:rsidDel="00000000" w:rsidR="00000000" w:rsidRPr="00000000">
        <w:rPr>
          <w:rtl w:val="0"/>
        </w:rPr>
        <w:t xml:space="preserve">, pristupljeno siječanj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[4] Maheshkar, S. </w:t>
      </w:r>
      <w:r w:rsidDel="00000000" w:rsidR="00000000" w:rsidRPr="00000000">
        <w:rPr>
          <w:i w:val="1"/>
          <w:iCs w:val="1"/>
          <w:rtl w:val="0"/>
        </w:rPr>
        <w:t xml:space="preserve">What is QLoRA</w:t>
      </w:r>
      <w:r w:rsidDel="00000000" w:rsidR="00000000" w:rsidRPr="00000000">
        <w:rPr>
          <w:rtl w:val="0"/>
        </w:rPr>
        <w:t xml:space="preserve">. Weights &amp; Biases,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https://wandb.ai/sauravmaheshkar/QLoRA/reports/What-is-QLoRA---Vmlldzo2MTI2OTc5</w:t>
        </w:r>
      </w:hyperlink>
      <w:r w:rsidDel="00000000" w:rsidR="00000000" w:rsidRPr="00000000">
        <w:rPr>
          <w:rtl w:val="0"/>
        </w:rPr>
        <w:t xml:space="preserve">, pristupljeno siječanj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[5] Avanzi, A. (2023). </w:t>
      </w:r>
      <w:r w:rsidDel="00000000" w:rsidR="00000000" w:rsidRPr="00000000">
        <w:rPr>
          <w:i w:val="1"/>
          <w:iCs w:val="1"/>
          <w:rtl w:val="0"/>
        </w:rPr>
        <w:t xml:space="preserve">Effective Q&amp;A LLM Fine-Tuning with PDF Documentation</w:t>
      </w:r>
      <w:r w:rsidDel="00000000" w:rsidR="00000000" w:rsidRPr="00000000">
        <w:rPr>
          <w:rtl w:val="0"/>
        </w:rPr>
        <w:t xml:space="preserve">. Medium,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https://medium.com/@ales.avanzi/effective-q-a-llm-fine-tuning-with-pdf-documentation-91b7fc458ced</w:t>
        </w:r>
      </w:hyperlink>
      <w:r w:rsidDel="00000000" w:rsidR="00000000" w:rsidRPr="00000000">
        <w:rPr>
          <w:rtl w:val="0"/>
        </w:rPr>
        <w:t xml:space="preserve">, pristupljeno siječanj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[6] SiliconFlow. </w:t>
      </w:r>
      <w:r w:rsidDel="00000000" w:rsidR="00000000" w:rsidRPr="00000000">
        <w:rPr>
          <w:i w:val="1"/>
          <w:iCs w:val="1"/>
          <w:rtl w:val="0"/>
        </w:rPr>
        <w:t xml:space="preserve">Best Open-Source LLM for Medical Industry</w:t>
      </w:r>
      <w:r w:rsidDel="00000000" w:rsidR="00000000" w:rsidRPr="00000000">
        <w:rPr>
          <w:rtl w:val="0"/>
        </w:rPr>
        <w:t xml:space="preserve">. SiliconFlow,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https://www.siliconflow.com/articles/en/best-open-source-LLM-for-medical-industry</w:t>
        </w:r>
      </w:hyperlink>
      <w:r w:rsidDel="00000000" w:rsidR="00000000" w:rsidRPr="00000000">
        <w:rPr>
          <w:rtl w:val="0"/>
        </w:rPr>
        <w:t xml:space="preserve">, pristupljeno siječanj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[7] YouTube. (2023). </w:t>
      </w:r>
      <w:r w:rsidDel="00000000" w:rsidR="00000000" w:rsidRPr="00000000">
        <w:rPr>
          <w:i w:val="1"/>
          <w:iCs w:val="1"/>
          <w:rtl w:val="0"/>
        </w:rPr>
        <w:t xml:space="preserve">QLoRA Tutorial</w:t>
      </w:r>
      <w:r w:rsidDel="00000000" w:rsidR="00000000" w:rsidRPr="00000000">
        <w:rPr>
          <w:rtl w:val="0"/>
        </w:rPr>
        <w:t xml:space="preserve">.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https://youtu.be/OtdnFtHOu40?si=qh-VI0CzT0jrTh36</w:t>
        </w:r>
      </w:hyperlink>
      <w:r w:rsidDel="00000000" w:rsidR="00000000" w:rsidRPr="00000000">
        <w:rPr>
          <w:rtl w:val="0"/>
        </w:rPr>
        <w:t xml:space="preserve">, pristupljeno siječanj 2026.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CE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FER  - Projekt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CF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©FER, 2024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D0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Stranica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od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C8">
          <w:pPr>
            <w:rPr/>
          </w:pPr>
          <w:r w:rsidDel="00000000" w:rsidR="00000000" w:rsidRPr="00000000">
            <w:rPr>
              <w:rtl w:val="0"/>
            </w:rPr>
            <w:t xml:space="preserve">Dotreniravanje LLM-ova s podacima iz medicinskih smjernica</w:t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C9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1.0</w:t>
          </w:r>
        </w:p>
      </w:tc>
    </w:tr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CA">
          <w:pPr>
            <w:rPr/>
          </w:pPr>
          <w:r w:rsidDel="00000000" w:rsidR="00000000" w:rsidRPr="00000000">
            <w:rPr>
              <w:rtl w:val="0"/>
            </w:rPr>
            <w:t xml:space="preserve">Tehnička dokumentacija</w:t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CB">
          <w:pPr>
            <w:rPr/>
          </w:pPr>
          <w:r w:rsidDel="00000000" w:rsidR="00000000" w:rsidRPr="00000000">
            <w:rPr>
              <w:rtl w:val="0"/>
            </w:rPr>
            <w:t xml:space="preserve">  Datum:  26/1/2026</w:t>
          </w:r>
        </w:p>
      </w:tc>
    </w:tr>
  </w:tbl>
  <w:p w:rsidR="00000000" w:rsidDel="00000000" w:rsidP="00000000" w:rsidRDefault="00000000" w:rsidRPr="00000000" w14:paraId="000000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1.○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○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○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○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○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○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○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h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iliconflow.com/articles/en/best-open-source-LLM-for-medical-industry" TargetMode="External"/><Relationship Id="rId11" Type="http://schemas.openxmlformats.org/officeDocument/2006/relationships/hyperlink" Target="https://ai.google.dev/aistudio" TargetMode="External"/><Relationship Id="rId22" Type="http://schemas.openxmlformats.org/officeDocument/2006/relationships/hyperlink" Target="https://youtu.be/OtdnFtHOu40?si=qh-VI0CzT0jrTh36" TargetMode="External"/><Relationship Id="rId10" Type="http://schemas.openxmlformats.org/officeDocument/2006/relationships/hyperlink" Target="https://www.escardio.org/Guidelines/Clinical-Practice-Guidelines" TargetMode="External"/><Relationship Id="rId21" Type="http://schemas.openxmlformats.org/officeDocument/2006/relationships/hyperlink" Target="https://youtu.be/OtdnFtHOu40?si=qh-VI0CzT0jrTh36" TargetMode="External"/><Relationship Id="rId13" Type="http://schemas.openxmlformats.org/officeDocument/2006/relationships/hyperlink" Target="https://www.llamaindex.ai/llamaparse" TargetMode="External"/><Relationship Id="rId12" Type="http://schemas.openxmlformats.org/officeDocument/2006/relationships/hyperlink" Target="https://ai.google.dev/aistud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scardio.org/Guidelines/Clinical-Practice-Guidelines" TargetMode="External"/><Relationship Id="rId15" Type="http://schemas.openxmlformats.org/officeDocument/2006/relationships/hyperlink" Target="https://wandb.ai/sauravmaheshkar/QLoRA/reports/What-is-QLoRA---Vmlldzo2MTI2OTc5" TargetMode="External"/><Relationship Id="rId14" Type="http://schemas.openxmlformats.org/officeDocument/2006/relationships/hyperlink" Target="https://www.llamaindex.ai/llamaparse" TargetMode="External"/><Relationship Id="rId17" Type="http://schemas.openxmlformats.org/officeDocument/2006/relationships/hyperlink" Target="https://medium.com/@ales.avanzi/effective-q-a-llm-fine-tuning-with-pdf-documentation-91b7fc458ced" TargetMode="External"/><Relationship Id="rId16" Type="http://schemas.openxmlformats.org/officeDocument/2006/relationships/hyperlink" Target="https://wandb.ai/sauravmaheshkar/QLoRA/reports/What-is-QLoRA---Vmlldzo2MTI2OTc5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iliconflow.com/articles/en/best-open-source-LLM-for-medical-industry" TargetMode="External"/><Relationship Id="rId6" Type="http://schemas.openxmlformats.org/officeDocument/2006/relationships/header" Target="header1.xml"/><Relationship Id="rId18" Type="http://schemas.openxmlformats.org/officeDocument/2006/relationships/hyperlink" Target="https://medium.com/@ales.avanzi/effective-q-a-llm-fine-tuning-with-pdf-documentation-91b7fc458ced" TargetMode="External"/><Relationship Id="rId7" Type="http://schemas.openxmlformats.org/officeDocument/2006/relationships/footer" Target="footer1.xml"/><Relationship Id="rId8" Type="http://schemas.openxmlformats.org/officeDocument/2006/relationships/hyperlink" Target="https://www.escardio.org/Guidelines/Clinical-Practice-Guide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