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НА ОКАЗАНИЕ IT-УСЛУГ № ___</w:t>
      </w:r>
    </w:p>
    <w:p/>
    <w:p>
      <w:r>
        <w:t>г. Москва</w:t>
      </w:r>
    </w:p>
    <w:p>
      <w:r>
        <w:t>«___» _________ 2025 г.</w:t>
      </w:r>
    </w:p>
    <w:p/>
    <w:p>
      <w:r>
        <w:t>Исполнитель: ООО «АйТиЛаб», Заказчик: ООО «ДиджиталПро».</w:t>
      </w:r>
    </w:p>
    <w:p/>
    <w:p>
      <w:r>
        <w:t>1. ПРЕДМЕТ</w:t>
      </w:r>
    </w:p>
    <w:p>
      <w:r>
        <w:t>1.1. Поддержка серверной инфраструктуры и внедрение ПО.</w:t>
      </w:r>
    </w:p>
    <w:p>
      <w:r>
        <w:t>1.2. Исполнитель предоставляет круглосуточный сервис-деск.</w:t>
      </w:r>
    </w:p>
    <w:p/>
    <w:p>
      <w:r>
        <w:t>2. ОПЛАТА</w:t>
      </w:r>
    </w:p>
    <w:p>
      <w:r>
        <w:t>2.1. Абонентская плата — 250 000 руб./мес.</w:t>
      </w:r>
    </w:p>
    <w:p>
      <w:r>
        <w:t>2.2. Дополнительные работы — по отдельному калькуляционному листу.</w:t>
      </w:r>
    </w:p>
    <w:p/>
    <w:p>
      <w:r>
        <w:t>3. СРОКИ</w:t>
      </w:r>
    </w:p>
    <w:p>
      <w:r>
        <w:t>3.1. Услуги оказываются 12 месяцев.</w:t>
      </w:r>
    </w:p>
    <w:p/>
    <w:p>
      <w:r>
        <w:t>4. ГАРАНТИИ</w:t>
      </w:r>
    </w:p>
    <w:p>
      <w:r>
        <w:t>4.1. SLA: время реакции — 30 минут.</w:t>
      </w:r>
    </w:p>
    <w:p/>
    <w:p>
      <w:r>
        <w:t>РЕКВИЗИТЫ СТОРОН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