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ТРАНСПОРТНО-ЭКСПЕДИТОРСКИХ УСЛУГ № ___</w:t>
      </w:r>
    </w:p>
    <w:p/>
    <w:p>
      <w:r>
        <w:t>г. Нижний Новгород</w:t>
      </w:r>
    </w:p>
    <w:p>
      <w:r>
        <w:t>«___» _________ 2025 г.</w:t>
      </w:r>
    </w:p>
    <w:p/>
    <w:p>
      <w:r>
        <w:t>Экспедитор: ООО «ТрансЛайн», Клиент: ООО «ПремиумСнаб».</w:t>
      </w:r>
    </w:p>
    <w:p/>
    <w:p>
      <w:r>
        <w:t>1. ПРЕДМЕТ</w:t>
      </w:r>
    </w:p>
    <w:p>
      <w:r>
        <w:t>1.1. Организация международной перевозки оборудования.</w:t>
      </w:r>
    </w:p>
    <w:p/>
    <w:p>
      <w:r>
        <w:t>2. УСЛОВИЯ</w:t>
      </w:r>
    </w:p>
    <w:p>
      <w:r>
        <w:t>2.1. Экспедитор организует маршруты, складирование, оформление документов.</w:t>
      </w:r>
    </w:p>
    <w:p/>
    <w:p>
      <w:r>
        <w:t>3. ТАРИФЫ</w:t>
      </w:r>
    </w:p>
    <w:p>
      <w:r>
        <w:t>3.1. Ставка за перевозку — согласно тарифной таблице.</w:t>
      </w:r>
    </w:p>
    <w:p/>
    <w:p>
      <w:r>
        <w:t>4. ОТВЕТСТВЕННОСТЬ</w:t>
      </w:r>
    </w:p>
    <w:p>
      <w:r>
        <w:t>4.1. Экспедитор несет ответственность как хранитель груза.</w:t>
      </w:r>
    </w:p>
    <w:p/>
    <w:p>
      <w:r>
        <w:t>5. СПОРЫ</w:t>
      </w:r>
    </w:p>
    <w:p>
      <w:r>
        <w:t>5.1. Рассматриваются в арбитражном суде.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