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6"/>
          <w:szCs w:val="26"/>
          <w:rtl w:val="0"/>
        </w:rPr>
        <w:t xml:space="preserve">Instituto Tecnológico y de Estudios Superiores de Monterrey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00438" cy="216031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216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e2a38"/>
          <w:sz w:val="21"/>
          <w:szCs w:val="21"/>
          <w:rtl w:val="0"/>
        </w:rPr>
        <w:t xml:space="preserve">Escuela de Ingeniería y Ciencias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e2a38"/>
          <w:sz w:val="21"/>
          <w:szCs w:val="21"/>
          <w:rtl w:val="0"/>
        </w:rPr>
        <w:t xml:space="preserve">Ingeniería en Ciencia de Datos y Matemáticas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e2a38"/>
          <w:sz w:val="21"/>
          <w:szCs w:val="21"/>
          <w:rtl w:val="0"/>
        </w:rPr>
        <w:t xml:space="preserve">Bloque MA2006B — Uso de Álgebras Modernas para Seguridad y Criptografía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a88"/>
          <w:sz w:val="30"/>
          <w:szCs w:val="30"/>
          <w:rtl w:val="0"/>
        </w:rPr>
        <w:t xml:space="preserve">Reporte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e2a38"/>
          <w:sz w:val="22"/>
          <w:szCs w:val="22"/>
          <w:rtl w:val="0"/>
        </w:rPr>
        <w:t xml:space="preserve">Etapa 1 del reto: Gestor de Identidades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2"/>
          <w:szCs w:val="22"/>
          <w:rtl w:val="0"/>
        </w:rPr>
        <w:t xml:space="preserve">Equipo 3 — Grupo 601</w:t>
      </w:r>
      <w:r w:rsidDel="00000000" w:rsidR="00000000" w:rsidRPr="00000000">
        <w:rPr>
          <w:rtl w:val="0"/>
        </w:rPr>
      </w:r>
    </w:p>
    <w:tbl>
      <w:tblPr>
        <w:tblStyle w:val="Table1"/>
        <w:tblW w:w="4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600"/>
        <w:tblGridChange w:id="0">
          <w:tblGrid>
            <w:gridCol w:w="3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Matrícula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Daniel Eugenio González Limas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A01285898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Sebastián Zaragoza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A01286211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Cedrick Patricio Treviño Ortiz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A01198868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Jorge Eduardo González Cantú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A01571510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André Robles Bueckmann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A01706832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60" w:before="2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0"/>
          <w:szCs w:val="20"/>
          <w:rtl w:val="0"/>
        </w:rPr>
        <w:t xml:space="preserve">Profesores: </w:t>
      </w:r>
      <w:r w:rsidDel="00000000" w:rsidR="00000000" w:rsidRPr="00000000">
        <w:rPr>
          <w:rFonts w:ascii="Arial" w:cs="Arial" w:eastAsia="Arial" w:hAnsi="Arial"/>
          <w:color w:val="1e2a38"/>
          <w:sz w:val="20"/>
          <w:szCs w:val="20"/>
          <w:rtl w:val="0"/>
        </w:rPr>
        <w:t xml:space="preserve">Raúl Gómez, Daniel Otero y Alberto F. Martínez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0"/>
          <w:szCs w:val="20"/>
          <w:rtl w:val="0"/>
        </w:rPr>
        <w:t xml:space="preserve">Socio Formador: </w:t>
      </w:r>
      <w:r w:rsidDel="00000000" w:rsidR="00000000" w:rsidRPr="00000000">
        <w:rPr>
          <w:rFonts w:ascii="Arial" w:cs="Arial" w:eastAsia="Arial" w:hAnsi="Arial"/>
          <w:color w:val="1e2a38"/>
          <w:sz w:val="20"/>
          <w:szCs w:val="20"/>
          <w:rtl w:val="0"/>
        </w:rPr>
        <w:t xml:space="preserve">Casa Monarca. Ayuda Humanitaria al Migrante, A.B.P.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e2a38"/>
          <w:sz w:val="20"/>
          <w:szCs w:val="20"/>
          <w:rtl w:val="0"/>
        </w:rPr>
        <w:t xml:space="preserve">Monterrey, Nuevo León. 10 de junio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2e5a88" w:space="3" w:sz="8" w:val="single"/>
        </w:pBdr>
        <w:spacing w:after="140" w:before="2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8"/>
          <w:szCs w:val="28"/>
          <w:rtl w:val="0"/>
        </w:rPr>
        <w:t xml:space="preserve">Índice de Contenidos</w:t>
      </w:r>
      <w:r w:rsidDel="00000000" w:rsidR="00000000" w:rsidRPr="00000000">
        <w:rPr>
          <w:rtl w:val="0"/>
        </w:rPr>
      </w:r>
    </w:p>
    <w:sdt>
      <w:sdtPr>
        <w:id w:val="8221306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2e5a88" w:space="3" w:sz="8" w:val="single"/>
        </w:pBdr>
        <w:spacing w:after="140" w:before="2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8"/>
          <w:szCs w:val="28"/>
          <w:rtl w:val="0"/>
        </w:rPr>
        <w:t xml:space="preserve">Índice de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Tabla 1. Métodos de autenticación revisados.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Tabla 2. Matriz de permisos por rol (RBAC).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Tabla 3. Inventario de algoritmos criptográficos empleados.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Tabla 4. Endpoints principales de la API por rol.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Tabla 5. Casos de uso y validaciones.</w:t>
      </w:r>
    </w:p>
    <w:p w:rsidR="00000000" w:rsidDel="00000000" w:rsidP="00000000" w:rsidRDefault="00000000" w:rsidRPr="00000000" w14:paraId="00000023">
      <w:pPr>
        <w:pStyle w:val="Heading1"/>
        <w:pBdr>
          <w:bottom w:color="2e5a88" w:space="3" w:sz="8" w:val="single"/>
        </w:pBdr>
        <w:spacing w:after="140" w:before="2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8"/>
          <w:szCs w:val="28"/>
          <w:rtl w:val="0"/>
        </w:rPr>
        <w:t xml:space="preserve">Índice de Figuras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Fig. 1. Diagrama de contenedores (arquitectura de mismo origen).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Fig. 2. Secuencia de inicio de sesión con doble factor (TOTP).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Fig. 3. Flujo de firma digital con WebAuthn/FIDO2.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Fig. 4. Diagrama entidad-relación de la base de datos.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Fig. 5. Vistas reales del sistema por rol (capturas).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Bdr>
          <w:bottom w:color="2e5a88" w:space="3" w:sz="8" w:val="single"/>
        </w:pBdr>
        <w:spacing w:after="140" w:before="2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8"/>
          <w:szCs w:val="28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3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a99ab"/>
          <w:sz w:val="18"/>
          <w:szCs w:val="18"/>
          <w:rtl w:val="0"/>
        </w:rPr>
        <w:t xml:space="preserve">(este es un primer borrador.)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Casa Monarca, casa de apoyo a personas migrantes y refugiadas, gestiona información personal y documentos legales altamente sensibles cuyo manejo manual representa un riesgo de confidencialidad, integridad y trazabilidad. En la Etapa 1 del reto se diseñó e implementó un gestor de identidades y control de acceso que protege esos activos mediante registro por invitación verificada, autenticación de doble factor (TOTP y passkeys WebAuthn/FIDO2), control de acceso basado en roles (RBAC) de cuatro niveles, gestión y versionado de documentos confidenciales, firma digital criptográfica con no-repudio, y una bitácora de auditoría completa. La solución se construyó como dos aplicaciones de mismo origen —un frontend React/TypeScript y un backend Laravel/PHP con MySQL— bajo una metodología DevSecOps y orientada a un hosting compartido tipo HostGator. El resultado es un sistema funcional en ambiente de staging que garantiza confidencialidad, integridad, autenticidad, disponibilidad y no-repudio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2e5a88" w:space="3" w:sz="8" w:val="single"/>
        </w:pBdr>
        <w:spacing w:after="140" w:before="2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8"/>
          <w:szCs w:val="28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Casa Monarca. Ayuda Humanitaria al Migrante es una organización de la sociedad civil que brinda atención a personas migrantes y refugiadas. En su operación diaria procesa datos personales y documentos legales extremadamente sensibles (identificaciones, expedientes, documentos oficiales), pertenecientes a una población en situación de alta vulnerabilidad. El manejo de esta información mediante procesos manuales y archivos no centralizados incrementa el riesgo de fugas, pérdidas, alteraciones y falta de trazabilidad sobre quién accede o modifica cada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reto de la Etapa 1 consiste en diseñar e implementar un gestor de identidades y control de acceso que digitalice y asegure estos procesos operativos y en la Etapa 2 consiste en implementar </w:t>
      </w:r>
      <w:r w:rsidDel="00000000" w:rsidR="00000000" w:rsidRPr="00000000">
        <w:rPr>
          <w:rtl w:val="0"/>
        </w:rPr>
        <w:t xml:space="preserve">la gestión de documentos y validación de documentos en base a la firma digital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El objetivo es garantizar los cinco principios de la seguridad de la información —confidencialidad, integridad, autenticidad, disponibilidad y no-repudio— cumpliendo con los Derechos ARCO y la Ley Federal de Protección de Datos Personales en Posesión de los Particulares. Para ello, el sistema controla la identidad y el acceso del personal mediante un esquema de permisos de cuatro niveles, protege la emisión y validación de documentos oficiales, y aplica algoritmos de clave pública y funciones resumen (hash) para asegurar la base de datos y las firmas.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reporte responde a la pregunta ¿qué hicimos?: describe la propuesta de solución, las decisiones de diseño, los componentes de backend y frontend desarrollados, su conexión, y los resultados obtenidos. El detalle de ¿cómo lo hicimos? se extiende en la documentación del desarrollador (manual de desarrollo / SDK).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2e5a88" w:space="3" w:sz="8" w:val="single"/>
        </w:pBdr>
        <w:spacing w:after="140" w:before="2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8"/>
          <w:szCs w:val="28"/>
          <w:rtl w:val="0"/>
        </w:rPr>
        <w:t xml:space="preserve">Marco de 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gestión de identidades y la firma electrónica son problemas resueltos por múltiples tecnologías y estándares. A continuación se documentan las soluciones y conceptos revisados, y se indica qué ideas se retomaron para la solución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0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a88"/>
          <w:sz w:val="23"/>
          <w:szCs w:val="23"/>
          <w:rtl w:val="0"/>
        </w:rPr>
        <w:t xml:space="preserve">Métodos de autenticación revisados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Los métodos de autenticación determinan cómo un colaborador acredita su identidad al acceder a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Tabla 1. 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Métodos de autenticación revisados (elaboración propia).</w:t>
      </w:r>
      <w:r w:rsidDel="00000000" w:rsidR="00000000" w:rsidRPr="00000000">
        <w:rPr>
          <w:rtl w:val="0"/>
        </w:rPr>
      </w:r>
    </w:p>
    <w:tbl>
      <w:tblPr>
        <w:tblStyle w:val="Table2"/>
        <w:tblW w:w="94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0"/>
        <w:gridCol w:w="4856"/>
        <w:gridCol w:w="2500"/>
        <w:tblGridChange w:id="0">
          <w:tblGrid>
            <w:gridCol w:w="2050"/>
            <w:gridCol w:w="4856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Autenticación de dos factores (2FA)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Requiere dos medios de identificación distintos (algo que se sabe + algo que se tiene/es) para reforzar la seguridad de la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Mitec, Facebook, AWS.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 de un solo uso (OTP)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 numérico/alfanumérico de validez temporal enviado o generado para validar una operación.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BBVA, Amazon, Gmail.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Certificado digital (eFirma)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Archivo electrónico que acredita la autenticidad del usuario usando criptografía de clave pública (PKI).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e.firma del SAT para declarar/facturar.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Token (físico o digital)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Dispositivo o app que genera claves dinámicas locales sincronizadas con el servidor, sin requerir 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Token físico bancario; token digital BBVA/Citibanamex/HSBC.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spacing w:after="10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a88"/>
          <w:sz w:val="23"/>
          <w:szCs w:val="23"/>
          <w:rtl w:val="0"/>
        </w:rPr>
        <w:t xml:space="preserve">Conceptos criptográficos de clave pública e integridad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40" w:before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bloque aborda criptografía de clave pública y funciones resumen. Como referencia de implementación se revisaron bibliotecas y sistemas existentes: Pycryptodome como biblioteca de Python para clave pública, y el sistema del SAT como caso real de administración de identidades de contribuyentes mediante certificados (e.firma). </w:t>
        <w:tab/>
      </w:r>
    </w:p>
    <w:p w:rsidR="00000000" w:rsidDel="00000000" w:rsidP="00000000" w:rsidRDefault="00000000" w:rsidRPr="00000000" w14:paraId="00000047">
      <w:pPr>
        <w:spacing w:after="140" w:before="0" w:line="360" w:lineRule="auto"/>
        <w:jc w:val="both"/>
        <w:rPr/>
      </w:pPr>
      <w:r w:rsidDel="00000000" w:rsidR="00000000" w:rsidRPr="00000000">
        <w:rPr>
          <w:rtl w:val="0"/>
        </w:rPr>
        <w:t xml:space="preserve">La aplicación terminó por tener el algoritmo “RSASSA-PKCS1-v1_5-SHA256”, el cuál es utilizado para firma digital en los documentos que gestiona la aplicación. Incluye RSA, el algoritmo criptográfico de cifrado público; SSA, que refiere más específicamente al esquema de la firma digital; PKCS versión 1.5, que es el formato con el que se construye la firma (incluyendo un concepto llamado padding); por último, SHA-256 que no es más que la función hash utilizada antes de firmar. (RFC 8017: PKCS #1: RSA Cryptography Specifications, n.d.).</w:t>
      </w:r>
    </w:p>
    <w:p w:rsidR="00000000" w:rsidDel="00000000" w:rsidP="00000000" w:rsidRDefault="00000000" w:rsidRPr="00000000" w14:paraId="00000048">
      <w:pPr>
        <w:spacing w:after="140" w:before="0" w:line="360" w:lineRule="auto"/>
        <w:jc w:val="both"/>
        <w:rPr/>
      </w:pPr>
      <w:r w:rsidDel="00000000" w:rsidR="00000000" w:rsidRPr="00000000">
        <w:rPr>
          <w:rtl w:val="0"/>
        </w:rPr>
        <w:t xml:space="preserve">El algoritmo RSA es de encriptación asimétrica, y fue uno de los protocolos vistos durante el curso de Algebras Modernas y Criptografía del ITESM, en 2026.</w:t>
      </w:r>
    </w:p>
    <w:p w:rsidR="00000000" w:rsidDel="00000000" w:rsidP="00000000" w:rsidRDefault="00000000" w:rsidRPr="00000000" w14:paraId="00000049">
      <w:pPr>
        <w:pStyle w:val="Heading2"/>
        <w:spacing w:after="10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a88"/>
          <w:sz w:val="23"/>
          <w:szCs w:val="23"/>
          <w:rtl w:val="0"/>
        </w:rPr>
        <w:t xml:space="preserve">Estándares retomados en la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 la revisión anterior, la solución adopta estándares abiertos y ampliamente auditados en lugar de criptografía propia: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TOTP (RFC 6238/4226)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para el segundo factor basado en tiempo.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WebAuthn / FIDO2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para passkeys y firma digital con no-repudio.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AES-256-CBC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(cifrado simétrico)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SHA-256 / HMAC-SHA256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para confidencialidad e integridad de datos sensibles.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RSASSA-PKCS1-v1_5 </w:t>
      </w:r>
      <w:r w:rsidDel="00000000" w:rsidR="00000000" w:rsidRPr="00000000">
        <w:rPr>
          <w:rtl w:val="0"/>
        </w:rPr>
        <w:t xml:space="preserve">(Firma digital de documentos). Sostenido por función de hash SHA-256.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YubiKey </w:t>
      </w:r>
      <w:r w:rsidDel="00000000" w:rsidR="00000000" w:rsidRPr="00000000">
        <w:rPr>
          <w:rtl w:val="0"/>
        </w:rPr>
        <w:t xml:space="preserve">como dispositivo físico de autenticación utilizado en conjunto con el protocolo FIDO2.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bottom w:color="2e5a88" w:space="3" w:sz="8" w:val="single"/>
        </w:pBdr>
        <w:spacing w:after="140" w:before="2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8"/>
          <w:szCs w:val="28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 sección documenta qué se desarrolló: la propuesta, su justificación y los componentes construidos.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0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a88"/>
          <w:sz w:val="23"/>
          <w:szCs w:val="23"/>
          <w:rtl w:val="0"/>
        </w:rPr>
        <w:t xml:space="preserve">Propuesta de solución y 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desarrolló Casa Monarca Access Control, un sistema de gestión de documentos confidenciales con firma digital, control de acceso basado en roles (RBAC) y auditoría completa. El sistema permite al personal autorizado: registrarse por invitación verificada, autenticarse con doble factor, subir y versionar documentos sensibles, firmarlos digitalmente con passkeys, gestionar flujos de aprobación por roles y dejar un rastro auditable de todas las acciones.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solución se estructura en dos aplicaciones desplegadas bajo el mismo origen: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frontend 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(SPA en React + TypeScript).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backend API 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(Laravel/PHP) con base de datos MySQL.</w:t>
      </w:r>
    </w:p>
    <w:p w:rsidR="00000000" w:rsidDel="00000000" w:rsidP="00000000" w:rsidRDefault="00000000" w:rsidRPr="00000000" w14:paraId="00000057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19475"/>
            <wp:effectExtent b="0" l="0" r="0" t="0"/>
            <wp:docPr descr="img/fig1_arquitectura.png" id="3" name="image1.png"/>
            <a:graphic>
              <a:graphicData uri="http://schemas.openxmlformats.org/drawingml/2006/picture">
                <pic:pic>
                  <pic:nvPicPr>
                    <pic:cNvPr descr="img/fig1_arquitectura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Fig. 1.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Diagrama de contenedores: arquitectura de mismo origen — Apache sirve el frontend en / y hace proxy a la API en /api (elaboración propia).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Decisiones de diseño y su justificación: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Arquitectura de mismo origen.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Servir frontend y API bajo el mismo dominio simplifica CORS y permite usar cookies de sesión seguras (HttpOnly) en lugar de guardar tokens en el navegador, reduciendo la superficie de ataque (robo de tokens por XSS).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Hosting compartido tipo HostGator en lugar de la nube.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Se priorizó un modelo de hosting económico y sostenible para una organización sin fines de lucro, que el propio personal pueda mantener. Esto impone restricciones (PHP/MySQL, sin servicios administrados) que condicionaron el stack y el despliegue.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Sesiones server-side + CSRF en lugar de JWT en cliente.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Mantener la sesión del lado del servidor evita exponer credenciales de larga vida en el navegador; las operaciones sensibles (POST/PUT/DELETE) exigen un token CSRF.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Criptografía estándar y auditada, no propia.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Se usan Web Crypto API (cliente), OpenSSL y el Encrypter de Laravel (servidor), evitando implementar primitivas propias.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Firma con passkeys (WebAuthn/FIDO2).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La clave privada nunca sale del dispositivo del usuario, garantizando no-repudio.</w:t>
      </w:r>
    </w:p>
    <w:p w:rsidR="00000000" w:rsidDel="00000000" w:rsidP="00000000" w:rsidRDefault="00000000" w:rsidRPr="00000000" w14:paraId="0000005F">
      <w:pPr>
        <w:pBdr>
          <w:left w:color="2e5a88" w:space="8" w:sz="18" w:val="single"/>
        </w:pBdr>
        <w:shd w:fill="f2f6fa" w:val="clear"/>
        <w:spacing w:after="120" w:before="60" w:line="360" w:lineRule="auto"/>
        <w:ind w:left="300" w:right="200" w:firstLine="0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Nota de diseño vs. implementación. La documentación conceptual inicial describía un esquema con certificados X.509, mTLS y una CA interna tipo e.firma. En la implementación real, la identidad fuerte y la firma se resolvieron con WebAuthn/FIDO2 (passkeys) + TOTP, por su mejor encaje con navegadores y hosting compartido. Esta diferencia se documenta de forma transparente.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0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a88"/>
          <w:sz w:val="23"/>
          <w:szCs w:val="23"/>
          <w:rtl w:val="0"/>
        </w:rPr>
        <w:t xml:space="preserve">Desarrollo de componentes — Backend (Access-Control-CM-API)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Stack: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PHP 8.3 + Laravel, MySQL 8 con el ORM Eloquent.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Arquitectura por capas: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Rutas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routes/api.php</w:t>
      </w:r>
      <w:sdt>
        <w:sdtPr>
          <w:id w:val="-183387648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2a38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) → Controllers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Api/{Auth, Admin, Audit, Documents}</w:t>
      </w:r>
      <w:sdt>
        <w:sdtPr>
          <w:id w:val="138413426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2a38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) → Services → Models (Eloquent) → Base de datos.</w:t>
          </w:r>
        </w:sdtContent>
      </w:sdt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Autenticación: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sesiones server-side + cookies + CSRF. Contraseñas hasheadas con Argon2id/bcrypt; segundo factor TOTP y/o passkeys.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Roles (RBAC):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coordinator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non_coordinator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volunteer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, aplicados con middleware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requireRole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requireSecurityEnrollment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Gestión documental:</w:t>
      </w:r>
      <w:sdt>
        <w:sdtPr>
          <w:id w:val="-126987019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2a38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documentos, revisiones versionadas (cadena padre→hijo con hash SHA-256), firmas y lápidas (tombstones) de borrado.</w:t>
          </w:r>
        </w:sdtContent>
      </w:sdt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Auditoría: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bitácora append-only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audit_events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) con ~49 tipos de evento.</w:t>
      </w:r>
    </w:p>
    <w:p w:rsidR="00000000" w:rsidDel="00000000" w:rsidP="00000000" w:rsidRDefault="00000000" w:rsidRPr="00000000" w14:paraId="00000067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control de acceso por rol define qué módulos y acciones puede ejecutar cada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Tabla 2. 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Matriz de permisos por rol (RBAC) (elaboración propia).</w:t>
      </w:r>
      <w:r w:rsidDel="00000000" w:rsidR="00000000" w:rsidRPr="00000000">
        <w:rPr>
          <w:rtl w:val="0"/>
        </w:rPr>
      </w:r>
    </w:p>
    <w:tbl>
      <w:tblPr>
        <w:tblStyle w:val="Table3"/>
        <w:tblW w:w="94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6"/>
        <w:gridCol w:w="1500"/>
        <w:gridCol w:w="1500"/>
        <w:gridCol w:w="1500"/>
        <w:gridCol w:w="1500"/>
        <w:tblGridChange w:id="0">
          <w:tblGrid>
            <w:gridCol w:w="3406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Voluntario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No-coord.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Subir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/>
            </w:pPr>
            <w:sdt>
              <w:sdtPr>
                <w:id w:val="-211779176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/>
            </w:pPr>
            <w:sdt>
              <w:sdtPr>
                <w:id w:val="-19933599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/>
            </w:pPr>
            <w:sdt>
              <w:sdtPr>
                <w:id w:val="-39484316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/>
            </w:pPr>
            <w:sdt>
              <w:sdtPr>
                <w:id w:val="-76133844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 / descargar / verificar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/>
            </w:pPr>
            <w:sdt>
              <w:sdtPr>
                <w:id w:val="30913358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/>
            </w:pPr>
            <w:sdt>
              <w:sdtPr>
                <w:id w:val="155553944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/>
            </w:pPr>
            <w:sdt>
              <w:sdtPr>
                <w:id w:val="-173006695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Subir nueva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/>
            </w:pPr>
            <w:sdt>
              <w:sdtPr>
                <w:id w:val="55554780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/>
            </w:pPr>
            <w:sdt>
              <w:sdtPr>
                <w:id w:val="-49761932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Firmar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/>
            </w:pPr>
            <w:sdt>
              <w:sdtPr>
                <w:id w:val="67627769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/>
            </w:pPr>
            <w:sdt>
              <w:sdtPr>
                <w:id w:val="135011971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Crear / gestionar invitaciones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/>
            </w:pPr>
            <w:sdt>
              <w:sdtPr>
                <w:id w:val="42090737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/>
            </w:pPr>
            <w:sdt>
              <w:sdtPr>
                <w:id w:val="-188032639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Aprobar / rechazar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/>
            </w:pPr>
            <w:sdt>
              <w:sdtPr>
                <w:id w:val="178660737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usuarios, roles y recuperación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/>
            </w:pPr>
            <w:sdt>
              <w:sdtPr>
                <w:id w:val="-74025116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Borrar documento (deja tombstone)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/>
            </w:pPr>
            <w:sdt>
              <w:sdtPr>
                <w:id w:val="19646136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Auditoría y libro de firmas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/>
            </w:pPr>
            <w:sdt>
              <w:sdtPr>
                <w:id w:val="-175297939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Bdr>
          <w:left w:color="2e5a88" w:space="8" w:sz="18" w:val="single"/>
        </w:pBdr>
        <w:shd w:fill="f2f6fa" w:val="clear"/>
        <w:spacing w:after="120" w:before="60" w:line="360" w:lineRule="auto"/>
        <w:ind w:left="300" w:right="200" w:firstLine="0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Requisitos de enrolamiento de seguridad antes de operar: coordinador requiere TOTP + passkey; no-coordinador y voluntario requieren TOTP. Las acciones sensibles (firmar, cambiar rol, borrar) exigen además una passkey assertion fresca.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10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a88"/>
          <w:sz w:val="23"/>
          <w:szCs w:val="23"/>
          <w:rtl w:val="0"/>
        </w:rPr>
        <w:t xml:space="preserve">Desarrollo de componentes — Frontend (Access-Control-CM-Web)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Stack: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React 19 + TypeScript + Vite (SPA, build a archivos estáticos).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Comunicación con la API: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capa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lib/api.ts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vía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fetch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credentials: 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y token CSRF.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Criptografía de cliente: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Web Crypto API nativa, solo para verificar firmas (nunca para crear claves privadas).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Rutas protegidas por rol: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/app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(todos los roles),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/app/admin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(solo admin),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/403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(acceso denegado).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Módulos por rol: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subida de documentos, revisión/VCS de documentos, invitaciones, panel de administración, página de auditoría y libro de firmas (signing ledger).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Enrolamiento 2FA: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generación de QR para TOTP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qrcode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) y registro de passkeys.</w:t>
      </w:r>
    </w:p>
    <w:p w:rsidR="00000000" w:rsidDel="00000000" w:rsidP="00000000" w:rsidRDefault="00000000" w:rsidRPr="00000000" w14:paraId="000000A3">
      <w:pPr>
        <w:pStyle w:val="Heading2"/>
        <w:spacing w:after="10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a88"/>
          <w:sz w:val="23"/>
          <w:szCs w:val="23"/>
          <w:rtl w:val="0"/>
        </w:rPr>
        <w:t xml:space="preserve">Conexión de los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Entorno local: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el frontend corre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http://localhost:5173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y la API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http://127.0.0.1:8000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; Vite hace proxy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/api/*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hacia Laravel para evitar problemas de CORS. Laravel se conecta a MySQL local (puerto 3306) con credenciales del archivo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Despliegue: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Apache actúa como borde de mismo origen, sirve los archivos estáticos de React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y hace proxy a la API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/api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; Laravel procesa la solicitud y lee/escribe en MySQL. El frontend se sube como artefacto estático y la API se actualiza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git pull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remoto mediante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scripts/deploy-staging.sh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siguiente diagrama muestra el flujo de inicio de sesión con segundo factor.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43500" cy="4505325"/>
            <wp:effectExtent b="0" l="0" r="0" t="0"/>
            <wp:docPr descr="img/fig2_login_2fa.png" id="2" name="image4.png"/>
            <a:graphic>
              <a:graphicData uri="http://schemas.openxmlformats.org/drawingml/2006/picture">
                <pic:pic>
                  <pic:nvPicPr>
                    <pic:cNvPr descr="img/fig2_login_2fa.png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Fig. 2.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Secuencia de inicio de sesión con doble factor (elaboración propia).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pBdr>
          <w:bottom w:color="2e5a88" w:space="3" w:sz="8" w:val="single"/>
        </w:pBdr>
        <w:spacing w:after="140" w:before="2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8"/>
          <w:szCs w:val="28"/>
          <w:rtl w:val="0"/>
        </w:rPr>
        <w:t xml:space="preserve">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0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a88"/>
          <w:sz w:val="23"/>
          <w:szCs w:val="23"/>
          <w:rtl w:val="0"/>
        </w:rPr>
        <w:t xml:space="preserve">Resultado del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obtuvo una API REST funcional que cubre autenticación, segundo factor, gestión documental, administración y auditoría. La siguiente tabla resume los endpoints principales y el rol mínimo requerido.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Tabla 4. 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Endpoints principales de la API por rol (elaboración propia).</w:t>
      </w:r>
      <w:r w:rsidDel="00000000" w:rsidR="00000000" w:rsidRPr="00000000">
        <w:rPr>
          <w:rtl w:val="0"/>
        </w:rPr>
      </w:r>
    </w:p>
    <w:tbl>
      <w:tblPr>
        <w:tblStyle w:val="Table4"/>
        <w:tblW w:w="94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5356"/>
        <w:gridCol w:w="2050"/>
        <w:tblGridChange w:id="0">
          <w:tblGrid>
            <w:gridCol w:w="2000"/>
            <w:gridCol w:w="5356"/>
            <w:gridCol w:w="20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Endpoint(s) representativo(s)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GET /csrf-token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POST /login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POST /login/totp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POST /logout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GET 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Público / autenticado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POST /webauthn/login/options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/verify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POST /webauthn/register/options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Público / autenticado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Enrolamiento 2FA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POST /totp/enroll/options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Documentos (subir)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POST /documents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Voluntario+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Documentos (ver/descargar/verificar)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GET /documents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/{id}/download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/{id}/verification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No-coordinador+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Revisiones y 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POST /documents/{id}/revisions/*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/revisions/{rev}/sign/*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Coordinador+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POST /admin/invites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/{id}/verify-out-of-band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/{id}/issue-link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Coordinador+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GET /admin/users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/admin/document-approvals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/admin/signing-ledger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GET /audit-events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120" w:line="3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a99ab"/>
          <w:sz w:val="18"/>
          <w:szCs w:val="18"/>
          <w:rtl w:val="0"/>
        </w:rPr>
        <w:t xml:space="preserve">(Opcional: el equipo puede insertar aquí una captura de una respuesta real de la API —p. ej. GET /api/health o el JSON 403 forbidden_role— o de la suite de pruebas pasando.)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0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a88"/>
          <w:sz w:val="23"/>
          <w:szCs w:val="23"/>
          <w:rtl w:val="0"/>
        </w:rPr>
        <w:t xml:space="preserve">Resultado del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obtuvo una SPA funcional con pantalla de inicio de sesión (incluido login por passkey), enrolamiento de segundo factor (QR TOTP y registro de llave de seguridad), y los módulos operativos diferenciados por rol. Las siguientes capturas muestran la interfaz real en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381375"/>
            <wp:effectExtent b="0" l="0" r="0" t="0"/>
            <wp:docPr descr="img/ph_fig5_vistas.png" id="5" name="image6.png"/>
            <a:graphic>
              <a:graphicData uri="http://schemas.openxmlformats.org/drawingml/2006/picture">
                <pic:pic>
                  <pic:nvPicPr>
                    <pic:cNvPr descr="img/ph_fig5_vistas.png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Fig. 5.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Vistas reales del sistema por rol (elaboración propia).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0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a88"/>
          <w:sz w:val="23"/>
          <w:szCs w:val="23"/>
          <w:rtl w:val="0"/>
        </w:rPr>
        <w:t xml:space="preserve">Resultado de la solución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sistema integrado se desplegó en un VPS de staging 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casamonarca.muchosnumeros.online</w:t>
      </w:r>
      <w:sdt>
        <w:sdtPr>
          <w:id w:val="193512835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) bajo Apache, replicando las restricciones del hosting compartido objetivo. La solución cubre el ciclo completo: invitación verificada → registro → doble factor → subida y versionado de documentos → firma digital → auditoría, garantizando confidencialidad (cifrado del secreto TOTP, cookies HttpOnly), integridad (hash SHA-256 de revisiones, HMAC), autenticidad y no-repudio (passkeys) y trazabilidad (bitácora de auditoría).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mecanismo de firma digital es el núcleo criptográfico de la solución y se ilustra a continuación.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43500" cy="4381500"/>
            <wp:effectExtent b="0" l="0" r="0" t="0"/>
            <wp:docPr descr="img/fig3_firma_webauthn.png" id="4" name="image2.png"/>
            <a:graphic>
              <a:graphicData uri="http://schemas.openxmlformats.org/drawingml/2006/picture">
                <pic:pic>
                  <pic:nvPicPr>
                    <pic:cNvPr descr="img/fig3_firma_webauthn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Fig. 3.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Flujo de firma digital con WebAuthn/FIDO2 (elaboración propia).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Tabla 3. 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Inventario de algoritmos criptográficos empleados (elaboración propia).</w:t>
      </w:r>
      <w:r w:rsidDel="00000000" w:rsidR="00000000" w:rsidRPr="00000000">
        <w:rPr>
          <w:rtl w:val="0"/>
        </w:rPr>
      </w:r>
    </w:p>
    <w:tbl>
      <w:tblPr>
        <w:tblStyle w:val="Table5"/>
        <w:tblW w:w="94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300"/>
        <w:gridCol w:w="4206"/>
        <w:tblGridChange w:id="0">
          <w:tblGrid>
            <w:gridCol w:w="2900"/>
            <w:gridCol w:w="2300"/>
            <w:gridCol w:w="42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Uso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AES-256-CBC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Cifrado simétrico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Cifrar el secreto TOTP en la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Argon2id / 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Hash de contraseñas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Guardar contraseñas de forma irreversible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SHA-256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Función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Integridad de documentos/revisiones, hash de sesión, challenges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HMAC-SHA1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MAC con 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Generación del código TOTP (RFC 6238/4226)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HMAC-SHA256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MAC con 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Integridad del payload cifrado de Laravel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ECDSA P-256 (ES256)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Firma asimétrica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Firmar/verificar passkeys WebAuthn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RSA PKCS#1 v1.5 + SHA-256 (RS256)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Firma asimétrica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Passkeys RSA y firma de paquetes de verificación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spacing w:after="10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a88"/>
          <w:sz w:val="23"/>
          <w:szCs w:val="23"/>
          <w:rtl w:val="0"/>
        </w:rPr>
        <w:t xml:space="preserve">Casos de uso y validaciones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Tabla 5. 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Casos de uso y validaciones (elaboración propia).</w:t>
      </w:r>
      <w:r w:rsidDel="00000000" w:rsidR="00000000" w:rsidRPr="00000000">
        <w:rPr>
          <w:rtl w:val="0"/>
        </w:rPr>
      </w:r>
    </w:p>
    <w:tbl>
      <w:tblPr>
        <w:tblStyle w:val="Table6"/>
        <w:tblW w:w="8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"/>
        <w:gridCol w:w="1695"/>
        <w:gridCol w:w="2250"/>
        <w:gridCol w:w="2250"/>
        <w:gridCol w:w="1455"/>
        <w:gridCol w:w="825"/>
        <w:tblGridChange w:id="0">
          <w:tblGrid>
            <w:gridCol w:w="420"/>
            <w:gridCol w:w="1695"/>
            <w:gridCol w:w="2250"/>
            <w:gridCol w:w="2250"/>
            <w:gridCol w:w="1455"/>
            <w:gridCol w:w="8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Entrada /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2240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por invitación verificada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crea invitación, se verifica fuera de banda y se emite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Cuenta creada con rol invitado; invitación consumida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Completado</w:t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fe08a" w:val="clear"/>
                <w:rtl w:val="0"/>
              </w:rPr>
              <w:t xml:space="preserve">[ENLACE]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Inicio de sesión con TOTP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 + contraseña + código de 6 dígitos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Acceso concedido; sesión creada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Completado</w:t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fe08a" w:val="clear"/>
                <w:rtl w:val="0"/>
              </w:rPr>
              <w:t xml:space="preserve">[ENLACE]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Inicio de sesión con passkey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con llave de seguridad/biometría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Acceso concedido por WebAuthn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Completado</w:t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fe08a" w:val="clear"/>
                <w:rtl w:val="0"/>
              </w:rPr>
              <w:t xml:space="preserve">[ENLACE]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 de acceso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sin permiso intenta módulo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Respuesta 403 forbidden_role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Completado</w:t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fe08a" w:val="clear"/>
                <w:rtl w:val="0"/>
              </w:rPr>
              <w:t xml:space="preserve">[ENLACE]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Subida y versionado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Subir documento y nueva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left"/>
              <w:rPr/>
            </w:pPr>
            <w:sdt>
              <w:sdtPr>
                <w:id w:val="-111623025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Revisión con hash SHA-256 y cadena padre→hijo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Completado</w:t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fe08a" w:val="clear"/>
                <w:rtl w:val="0"/>
              </w:rPr>
              <w:t xml:space="preserve">[ENLACE]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Firma digital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Firmar revisión con passkey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Firma verificada con clave pública;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Completado</w:t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shd w:fill="f2f6fa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fe08a" w:val="clear"/>
                <w:rtl w:val="0"/>
              </w:rPr>
              <w:t xml:space="preserve">[ENLACE]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Auditoría de 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Ejecutar acciones sensibles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Eventos registrados en bitácora audit_events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Completado</w:t>
            </w:r>
          </w:p>
        </w:tc>
        <w:tc>
          <w:tcPr>
            <w:tcBorders>
              <w:top w:color="b9c4d0" w:space="0" w:sz="4" w:val="single"/>
              <w:left w:color="b9c4d0" w:space="0" w:sz="4" w:val="single"/>
              <w:bottom w:color="b9c4d0" w:space="0" w:sz="4" w:val="single"/>
              <w:right w:color="b9c4d0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fe08a" w:val="clear"/>
                <w:rtl w:val="0"/>
              </w:rPr>
              <w:t xml:space="preserve">[ENLACE]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Bdr>
          <w:left w:color="2e5a88" w:space="8" w:sz="18" w:val="single"/>
        </w:pBdr>
        <w:shd w:fill="f2f6fa" w:val="clear"/>
        <w:spacing w:after="120" w:before="60" w:line="360" w:lineRule="auto"/>
        <w:ind w:left="300" w:right="200" w:firstLine="0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En la columna Evidencias, cada fila debe enlazar a la prueba correspondiente (capturas, video, prueba automatizada o registro en evidencias_reto), según pide el formato del reporte.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pBdr>
          <w:bottom w:color="2e5a88" w:space="3" w:sz="8" w:val="single"/>
        </w:pBdr>
        <w:spacing w:after="140" w:before="2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8"/>
          <w:szCs w:val="28"/>
          <w:rtl w:val="0"/>
        </w:rPr>
        <w:t xml:space="preserve">Conclusiones y trabajo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460" w:right="0" w:hanging="2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Se cumplió el objetivo de la Etapa 1: un gestor de identidades y control de acceso funcional que asegura confidencialidad, integridad, autenticidad, disponibilidad y no-repudio sobre los documentos sensibles de Casa Monarca, usando estándares abiertos y un stack sostenible para una organización sin fines de lucro.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El enfoque de mismo origen, sesiones server-side y passkeys probó ser adecuado para el hosting compartido objetivo.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flujo del firmado y aprobación de documentos funciona, y cuenta con las funcionalidades necesarias para asignar orden estricto o no, y para visualizar todos los flujos por cuenta dentro de la aplicación. Además, se tienen backlogs como sistema de rastreo de actividad como evidencia de los movimientos y aprobaciones realizadas.</w:t>
      </w:r>
    </w:p>
    <w:p w:rsidR="00000000" w:rsidDel="00000000" w:rsidP="00000000" w:rsidRDefault="00000000" w:rsidRPr="00000000" w14:paraId="00000122">
      <w:pPr>
        <w:spacing w:after="60" w:before="8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Trabajo futuro: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Completar el control de versiones (VCS) de documentos: los eventos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vcs.*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están definidos pero el VCS completo quedó pendiente.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Encadenar criptográficamente la bitácora de auditoría (actualmente append-only pero no encadenada; no es blockchain).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Endurecer la validación de la cadena de atestación (attestation) de WebAuthn.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Despliegue a producción en el hosting compartido definitivo y pruebas con usuarios reales.</w:t>
      </w:r>
    </w:p>
    <w:p w:rsidR="00000000" w:rsidDel="00000000" w:rsidP="00000000" w:rsidRDefault="00000000" w:rsidRPr="00000000" w14:paraId="00000127">
      <w:pPr>
        <w:pStyle w:val="Heading1"/>
        <w:pBdr>
          <w:bottom w:color="2e5a88" w:space="3" w:sz="8" w:val="single"/>
        </w:pBdr>
        <w:spacing w:after="140" w:before="2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8"/>
          <w:szCs w:val="28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3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a99ab"/>
          <w:sz w:val="18"/>
          <w:szCs w:val="18"/>
          <w:rtl w:val="0"/>
        </w:rPr>
        <w:t xml:space="preserve">(Formato APA. Completar y verificar al cerrar el documento.)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Evidian. (s. f.). Los 7 métodos de autenticación más utilizados. https://www.evidian.com/pdf/wp-strongauth-es.pdf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Fortinet. (s. f.). ¿Qué son los certificados digitales? https://www.fortinet.com/lat/resources/cyberglossary/digital-certificates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M’Raihi, D., Machani, S., Pei, M., &amp; Rydell, J. (2011). TOTP: Time-Based One-Time Password Algorithm (RFC 6238). IETF.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Viafirma. (2021, 12 de octubre). Métodos de autenticación. https://www.viafirma.com/es/metodos-de-autenticacion/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World Wide Web Consortium (W3C). (2021). Web Authentication: An API for accessing Public Key Credentials (WebAuthn) Level 2.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Zertuche, V. (2026, 9 de abril). ¿Qué es OTP? Todo sobre la contraseña de un solo uso. SMS Masivos.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  <w:rtl w:val="0"/>
        </w:rPr>
        <w:t xml:space="preserve">https://www.smsmasivos.com.mx/blog/que-es-otp-codigo-de-un-solo-uso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60" w:line="360" w:lineRule="auto"/>
        <w:ind w:left="460" w:hanging="260"/>
        <w:jc w:val="both"/>
      </w:pPr>
      <w:r w:rsidDel="00000000" w:rsidR="00000000" w:rsidRPr="00000000">
        <w:rPr>
          <w:rtl w:val="0"/>
        </w:rPr>
        <w:t xml:space="preserve">RFC 8017: PKCS #1: RSA Cryptography Specifications Version 2.2. (n.d.). IETF Datatracker. </w:t>
      </w:r>
      <w:r w:rsidDel="00000000" w:rsidR="00000000" w:rsidRPr="00000000">
        <w:rPr>
          <w:rtl w:val="0"/>
        </w:rPr>
        <w:t xml:space="preserve">https://datatracker.ietf.org/doc/html/rfc8017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60" w:line="360" w:lineRule="auto"/>
        <w:ind w:left="460" w:hanging="2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HostGator. (s. f.). </w:t>
      </w:r>
      <w:r w:rsidDel="00000000" w:rsidR="00000000" w:rsidRPr="00000000">
        <w:rPr>
          <w:i w:val="1"/>
          <w:iCs w:val="1"/>
          <w:rtl w:val="0"/>
        </w:rPr>
        <w:t xml:space="preserve">¿Cuáles son las compatibilidades de HostGator?</w:t>
      </w:r>
      <w:r w:rsidDel="00000000" w:rsidR="00000000" w:rsidRPr="00000000">
        <w:rPr>
          <w:rtl w:val="0"/>
        </w:rPr>
        <w:t xml:space="preserve"> HostGator Centro de Ayuda. https://soporte.hostgator.mx/hc/es-419/articles/28439216847379-Cu%C3%A1les-son-las-compatibilidades-de-HostGator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pBdr>
          <w:bottom w:color="2e5a88" w:space="3" w:sz="8" w:val="single"/>
        </w:pBdr>
        <w:spacing w:after="140" w:before="2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8"/>
          <w:sz w:val="28"/>
          <w:szCs w:val="28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72810" cy="2222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Fig. 4.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Diagrama entidad-relación de la base de datos (elaboración propia).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4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Información complementaria que apoya las secciones de Desarrollo y Resultados: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Diagramas Mermaid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evidencias_reto/README.md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(contenedores, secuencias de login y registro, vista de despliegue, modelo conceptual).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Esquema completo de base de datos: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evidencias_reto/database-schema.md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e2a38"/>
          <w:sz w:val="19"/>
          <w:szCs w:val="19"/>
          <w:u w:val="none"/>
          <w:shd w:fill="auto" w:val="clear"/>
          <w:vertAlign w:val="baseline"/>
          <w:rtl w:val="0"/>
        </w:rPr>
        <w:t xml:space="preserve">Access-Control-CM-API/docs/architecture/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8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46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38"/>
          <w:sz w:val="20"/>
          <w:szCs w:val="20"/>
          <w:u w:val="none"/>
          <w:shd w:fill="ffe08a" w:val="clear"/>
          <w:vertAlign w:val="baseline"/>
          <w:rtl w:val="0"/>
        </w:rPr>
        <w:t xml:space="preserve">[PENDIENTE: capturas adicionales del sistema que se quieran anexar.]</w:t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134" w:top="1134" w:left="1417" w:right="141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jc w:val="center"/>
      <w:rPr/>
    </w:pPr>
    <w:r w:rsidDel="00000000" w:rsidR="00000000" w:rsidRPr="00000000">
      <w:rPr>
        <w:rFonts w:ascii="Arial" w:cs="Arial" w:eastAsia="Arial" w:hAnsi="Arial"/>
        <w:color w:val="8a99ab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8a99a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a99ab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8a99a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pBdr>
        <w:bottom w:color="c8d2dd" w:space="2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a99ab"/>
        <w:sz w:val="15"/>
        <w:szCs w:val="15"/>
        <w:rtl w:val="0"/>
      </w:rPr>
      <w:t xml:space="preserve">Casa Monarca ·  Reporte Técnico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2a3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a38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a88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2a38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AyEm9EQsXXW7BpRnpj29c77TG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zgAciExeUZEM3Q3eEVJc2tucFVFNWZCaFVGNEFScHBINUZna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