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Montserrat" w:cs="Montserrat" w:eastAsia="Montserrat" w:hAnsi="Montserrat"/>
          <w:b/>
          <w:bCs/>
          <w:i w:val="false"/>
          <w:iCs w:val="false"/>
          <w:color w:val="A8AFB5"/>
          <w:sz w:val="17"/>
          <w:szCs w:val="17"/>
        </w:rPr>
        <w:t xml:space="preserve">Apotheca®</w:t>
      </w:r>
    </w:p>
    <w:p>
      <w:pPr>
        <w:spacing w:after="60" w:line="600"/>
      </w:pPr>
      <w:r>
        <w:rPr>
          <w:rFonts w:ascii="Montserrat" w:cs="Montserrat" w:eastAsia="Montserrat" w:hAnsi="Montserrat"/>
          <w:b w:val="false"/>
          <w:bCs w:val="false"/>
          <w:i w:val="false"/>
          <w:iCs w:val="false"/>
          <w:color w:val="1C1F22"/>
          <w:sz w:val="50"/>
          <w:szCs w:val="50"/>
        </w:rPr>
        <w:t xml:space="preserve">Ingredient List Decoder</w:t>
      </w:r>
    </w:p>
    <w:p>
      <w:pPr>
        <w:spacing w:after="200"/>
      </w:pPr>
      <w:r>
        <w:rPr>
          <w:rFonts w:ascii="Montserrat" w:cs="Montserrat" w:eastAsia="Montserrat" w:hAnsi="Montserrat"/>
          <w:b w:val="false"/>
          <w:bCs w:val="false"/>
          <w:i w:val="false"/>
          <w:iCs w:val="false"/>
          <w:color w:val="6E767D"/>
          <w:sz w:val="21"/>
          <w:szCs w:val="21"/>
        </w:rPr>
        <w:t xml:space="preserve">Project brief, version one</w:t>
      </w:r>
    </w:p>
    <w:p>
      <w:pPr>
        <w:pBdr>
          <w:bottom w:val="single" w:color="D4D9DD" w:sz="6" w:space="6"/>
        </w:pBdr>
        <w:spacing w:after="120"/>
      </w:pPr>
      <w:r>
        <w:rPr>
          <w:rFonts w:ascii="Montserrat" w:cs="Montserrat" w:eastAsia="Montserrat" w:hAnsi="Montserrat"/>
          <w:b w:val="false"/>
          <w:bCs w:val="false"/>
          <w:i w:val="false"/>
          <w:iCs w:val="false"/>
          <w:color w:val="3F464C"/>
          <w:sz w:val="18"/>
          <w:szCs w:val="18"/>
        </w:rPr>
        <w:t xml:space="preserve"/>
      </w:r>
    </w:p>
    <w:p>
      <w:pPr>
        <w:spacing w:after="300"/>
      </w:pPr>
      <w:r>
        <w:rPr>
          <w:rFonts w:ascii="Montserrat" w:cs="Montserrat" w:eastAsia="Montserrat" w:hAnsi="Montserrat"/>
          <w:b w:val="false"/>
          <w:bCs w:val="false"/>
          <w:i w:val="false"/>
          <w:iCs w:val="false"/>
          <w:color w:val="A8AFB5"/>
          <w:sz w:val="15"/>
          <w:szCs w:val="15"/>
        </w:rPr>
        <w:t xml:space="preserve">Prepared for Nick Krull, KDNA  |  31 August 2026  |  Internal working document</w:t>
      </w:r>
    </w:p>
    <w:p>
      <w:pPr>
        <w:spacing w:after="120" w:before="0" w:line="290"/>
        <w:jc w:val="left"/>
      </w:pPr>
      <w:r>
        <w:rPr>
          <w:rFonts w:ascii="Montserrat" w:cs="Montserrat" w:eastAsia="Montserrat" w:hAnsi="Montserrat"/>
          <w:b w:val="false"/>
          <w:bCs w:val="false"/>
          <w:i w:val="false"/>
          <w:iCs w:val="false"/>
          <w:color w:val="3F464C"/>
          <w:sz w:val="18"/>
          <w:szCs w:val="18"/>
        </w:rPr>
        <w:t xml:space="preserve">A tool that lets someone paste in the ingredient list from any skincare product and get back a plain reading of how that formula is built. It is not a glossary. Glossaries already exist and she can Google an ingredient in seconds. What almost nothing does for her is read the list as a whole, which is a formulator’s skill and the one thing Apotheca® can offer that a database cannot.</w:t>
      </w:r>
    </w:p>
    <w:p>
      <w:pPr>
        <w:spacing w:after="120" w:before="0" w:line="290"/>
        <w:jc w:val="left"/>
      </w:pPr>
      <w:r>
        <w:rPr>
          <w:rFonts w:ascii="Montserrat" w:cs="Montserrat" w:eastAsia="Montserrat" w:hAnsi="Montserrat"/>
          <w:b w:val="false"/>
          <w:bCs w:val="false"/>
          <w:i w:val="false"/>
          <w:iCs w:val="false"/>
          <w:color w:val="3F464C"/>
          <w:sz w:val="18"/>
          <w:szCs w:val="18"/>
        </w:rPr>
        <w:t xml:space="preserve">It runs for a year with nothing to sell at the end of it. That is the point. A useful thing that existed long before there was a product is what makes it credible once there is one.</w:t>
      </w:r>
    </w:p>
    <w:p>
      <w:pPr>
        <w:spacing w:after="120" w:before="340" w:line="300"/>
      </w:pPr>
      <w:r>
        <w:rPr>
          <w:rFonts w:ascii="Montserrat" w:cs="Montserrat" w:eastAsia="Montserrat" w:hAnsi="Montserrat"/>
          <w:b/>
          <w:bCs/>
          <w:i w:val="false"/>
          <w:iCs w:val="false"/>
          <w:color w:val="1C1F22"/>
          <w:sz w:val="25"/>
          <w:szCs w:val="25"/>
        </w:rPr>
        <w:t xml:space="preserve">1. What it is for</w:t>
      </w:r>
    </w:p>
    <w:p>
      <w:pPr>
        <w:spacing w:after="120" w:before="0" w:line="290"/>
        <w:jc w:val="left"/>
      </w:pPr>
      <w:r>
        <w:rPr>
          <w:rFonts w:ascii="Montserrat" w:cs="Montserrat" w:eastAsia="Montserrat" w:hAnsi="Montserrat"/>
          <w:b w:val="false"/>
          <w:bCs w:val="false"/>
          <w:i w:val="false"/>
          <w:iCs w:val="false"/>
          <w:color w:val="3F464C"/>
          <w:sz w:val="18"/>
          <w:szCs w:val="18"/>
        </w:rPr>
        <w:t xml:space="preserve">Four jobs, in order of importance.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Proof of expertise.</w:t>
      </w:r>
      <w:r>
        <w:rPr>
          <w:rFonts w:ascii="Montserrat" w:cs="Montserrat" w:eastAsia="Montserrat" w:hAnsi="Montserrat"/>
          <w:b w:val="false"/>
          <w:bCs w:val="false"/>
          <w:i w:val="false"/>
          <w:iCs w:val="false"/>
          <w:color w:val="3F464C"/>
          <w:sz w:val="18"/>
          <w:szCs w:val="18"/>
        </w:rPr>
        <w:t xml:space="preserve"> Every result quietly demonstrates that whoever built this knows how formulas are put together. That is the founder story told through utility rather than through copy.</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List building.</w:t>
      </w:r>
      <w:r>
        <w:rPr>
          <w:rFonts w:ascii="Montserrat" w:cs="Montserrat" w:eastAsia="Montserrat" w:hAnsi="Montserrat"/>
          <w:b w:val="false"/>
          <w:bCs w:val="false"/>
          <w:i w:val="false"/>
          <w:iCs w:val="false"/>
          <w:color w:val="3F464C"/>
          <w:sz w:val="18"/>
          <w:szCs w:val="18"/>
        </w:rPr>
        <w:t xml:space="preserve"> She gives an email to see the full result. The lead is qualified, because someone who pastes an ingredient list is exactly the sceptical, ingredient-literate reader the brand is built for.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Traffic and topical authority.</w:t>
      </w:r>
      <w:r>
        <w:rPr>
          <w:rFonts w:ascii="Montserrat" w:cs="Montserrat" w:eastAsia="Montserrat" w:hAnsi="Montserrat"/>
          <w:b w:val="false"/>
          <w:bCs w:val="false"/>
          <w:i w:val="false"/>
          <w:iCs w:val="false"/>
          <w:color w:val="3F464C"/>
          <w:sz w:val="18"/>
          <w:szCs w:val="18"/>
        </w:rPr>
        <w:t xml:space="preserve"> The read-next block sends her into the existing article library, which strengthens internal linking and gives the site a reason to be visited before launch.</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Content intelligence.</w:t>
      </w:r>
      <w:r>
        <w:rPr>
          <w:rFonts w:ascii="Montserrat" w:cs="Montserrat" w:eastAsia="Montserrat" w:hAnsi="Montserrat"/>
          <w:b w:val="false"/>
          <w:bCs w:val="false"/>
          <w:i w:val="false"/>
          <w:iCs w:val="false"/>
          <w:color w:val="3F464C"/>
          <w:sz w:val="18"/>
          <w:szCs w:val="18"/>
        </w:rPr>
        <w:t xml:space="preserve"> Unknown ingredients become the writing queue. Stored lists show what she actually owns.</w:t>
      </w:r>
    </w:p>
    <w:p>
      <w:pPr>
        <w:spacing w:after="120" w:before="340" w:line="300"/>
      </w:pPr>
      <w:r>
        <w:rPr>
          <w:rFonts w:ascii="Montserrat" w:cs="Montserrat" w:eastAsia="Montserrat" w:hAnsi="Montserrat"/>
          <w:b/>
          <w:bCs/>
          <w:i w:val="false"/>
          <w:iCs w:val="false"/>
          <w:color w:val="1C1F22"/>
          <w:sz w:val="25"/>
          <w:szCs w:val="25"/>
        </w:rPr>
        <w:t xml:space="preserve">2. Scope</w:t>
      </w:r>
    </w:p>
    <w:p>
      <w:pPr>
        <w:spacing w:after="70" w:before="220" w:line="280"/>
      </w:pPr>
      <w:r>
        <w:rPr>
          <w:rFonts w:ascii="Montserrat" w:cs="Montserrat" w:eastAsia="Montserrat" w:hAnsi="Montserrat"/>
          <w:b/>
          <w:bCs/>
          <w:i w:val="false"/>
          <w:iCs w:val="false"/>
          <w:color w:val="1C1F22"/>
          <w:sz w:val="20"/>
          <w:szCs w:val="20"/>
        </w:rPr>
        <w:t xml:space="preserve">In, version one</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Paste or type an ingredient list, one product at a time.</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Optional photograph of a label, transcribed into the same editable box.</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descriptive summary of what the formula is built on.</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breakdown of every ingredient in the list, with detail on tap.</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 read-next block of up to three relevant Apotheca® articles.</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Email capture before the full result, with a cookie so she is only asked once.</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Optional emailed copy of the result.</w:t>
      </w:r>
    </w:p>
    <w:p>
      <w:pPr>
        <w:pStyle w:val="ListParagraph"/>
        <w:numPr>
          <w:ilvl w:val="0"/>
          <w:numId w:val="2"/>
        </w:numPr>
        <w:spacing w:after="80" w:line="290"/>
      </w:pPr>
      <w:r>
        <w:rPr>
          <w:rFonts w:ascii="Montserrat" w:cs="Montserrat" w:eastAsia="Montserrat" w:hAnsi="Montserrat"/>
          <w:b w:val="false"/>
          <w:bCs w:val="false"/>
          <w:i w:val="false"/>
          <w:iCs w:val="false"/>
          <w:color w:val="3F464C"/>
          <w:sz w:val="18"/>
          <w:szCs w:val="18"/>
        </w:rPr>
        <w:t xml:space="preserve">Admin queue for unknown ingredients, with AI-assisted drafting.</w:t>
      </w:r>
    </w:p>
    <w:p>
      <w:pPr>
        <w:spacing w:after="70" w:before="220" w:line="280"/>
      </w:pPr>
      <w:r>
        <w:rPr>
          <w:rFonts w:ascii="Montserrat" w:cs="Montserrat" w:eastAsia="Montserrat" w:hAnsi="Montserrat"/>
          <w:b/>
          <w:bCs/>
          <w:i w:val="false"/>
          <w:iCs w:val="false"/>
          <w:color w:val="1C1F22"/>
          <w:sz w:val="20"/>
          <w:szCs w:val="20"/>
        </w:rPr>
        <w:t xml:space="preserve">Out, for now</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Search by product name.</w:t>
      </w:r>
      <w:r>
        <w:rPr>
          <w:rFonts w:ascii="Montserrat" w:cs="Montserrat" w:eastAsia="Montserrat" w:hAnsi="Montserrat"/>
          <w:b w:val="false"/>
          <w:bCs w:val="false"/>
          <w:i w:val="false"/>
          <w:iCs w:val="false"/>
          <w:color w:val="3F464C"/>
          <w:sz w:val="18"/>
          <w:szCs w:val="18"/>
        </w:rPr>
        <w:t xml:space="preserve"> Needs a product database that does not exist. Building one by scraping is a legal exposure and a permanent maintenance job. The version worth having builds itself from stored lists over the first year.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Routine comparison across several products.</w:t>
      </w:r>
      <w:r>
        <w:rPr>
          <w:rFonts w:ascii="Montserrat" w:cs="Montserrat" w:eastAsia="Montserrat" w:hAnsi="Montserrat"/>
          <w:b w:val="false"/>
          <w:bCs w:val="false"/>
          <w:i w:val="false"/>
          <w:iCs w:val="false"/>
          <w:color w:val="3F464C"/>
          <w:sz w:val="18"/>
          <w:szCs w:val="18"/>
        </w:rPr>
        <w:t xml:space="preserve"> The duplication finding is one of the most useful things the tool could say, so the data structure should be ready for it, but it is version two.</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Any verdict on the formula.</w:t>
      </w:r>
      <w:r>
        <w:rPr>
          <w:rFonts w:ascii="Montserrat" w:cs="Montserrat" w:eastAsia="Montserrat" w:hAnsi="Montserrat"/>
          <w:b w:val="false"/>
          <w:bCs w:val="false"/>
          <w:i w:val="false"/>
          <w:iCs w:val="false"/>
          <w:color w:val="3F464C"/>
          <w:sz w:val="18"/>
          <w:szCs w:val="18"/>
        </w:rPr>
        <w:t xml:space="preserve"> See section 7.</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Product recommendations.</w:t>
      </w:r>
      <w:r>
        <w:rPr>
          <w:rFonts w:ascii="Montserrat" w:cs="Montserrat" w:eastAsia="Montserrat" w:hAnsi="Montserrat"/>
          <w:b w:val="false"/>
          <w:bCs w:val="false"/>
          <w:i w:val="false"/>
          <w:iCs w:val="false"/>
          <w:color w:val="3F464C"/>
          <w:sz w:val="18"/>
          <w:szCs w:val="18"/>
        </w:rPr>
        <w:t xml:space="preserve"> Not now, and not after launch either.</w:t>
      </w:r>
    </w:p>
    <w:p>
      <w:pPr>
        <w:spacing w:after="120" w:before="0" w:line="290"/>
        <w:jc w:val="left"/>
      </w:pPr>
      <w:r>
        <w:rPr>
          <w:rFonts w:ascii="Montserrat" w:cs="Montserrat" w:eastAsia="Montserrat" w:hAnsi="Montserrat"/>
          <w:b/>
          <w:bCs/>
          <w:i w:val="false"/>
          <w:iCs w:val="false"/>
          <w:color w:val="1C1F22"/>
          <w:sz w:val="18"/>
          <w:szCs w:val="18"/>
        </w:rPr>
        <w:t xml:space="preserve">Critical path.</w:t>
      </w:r>
      <w:r>
        <w:rPr>
          <w:rFonts w:ascii="Montserrat" w:cs="Montserrat" w:eastAsia="Montserrat" w:hAnsi="Montserrat"/>
          <w:b w:val="false"/>
          <w:bCs w:val="false"/>
          <w:i w:val="false"/>
          <w:iCs w:val="false"/>
          <w:color w:val="3F464C"/>
          <w:sz w:val="18"/>
          <w:szCs w:val="18"/>
        </w:rPr>
        <w:t xml:space="preserve"> The plugin is roughly a fortnight of work. The ingredient library is the month. Nothing can be analysed until a few hundred ingredients carry role tags and use ranges, so the seeding work starts first and runs alongside the build.</w:t>
      </w:r>
    </w:p>
    <w:p>
      <w:pPr>
        <w:spacing w:after="120" w:before="340" w:line="300"/>
      </w:pPr>
      <w:r>
        <w:rPr>
          <w:rFonts w:ascii="Montserrat" w:cs="Montserrat" w:eastAsia="Montserrat" w:hAnsi="Montserrat"/>
          <w:b/>
          <w:bCs/>
          <w:i w:val="false"/>
          <w:iCs w:val="false"/>
          <w:color w:val="1C1F22"/>
          <w:sz w:val="25"/>
          <w:szCs w:val="25"/>
        </w:rPr>
        <w:t xml:space="preserve">3. How it works, end to end</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She lands on the page and pastes, types, or photographs a label.</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If she photographed it, the transcription lands in the editable text box and she corrects anything that came out wrong before running it. The transcription is never analysed unseen.</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The parser splits the list, normalises each entry and matches it against the library, including aliases, common misspellings and trade names.</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Anything unmatched gets a fuzzy match suggestion, "did you mean phenoxyethanol", or is reported as not in the library yet and logged to the admin queue.</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The engine runs its rules and produces a set of findings.</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She sees the top-line summary, then the email gate, then the full breakdown and read-next block.</w:t>
      </w:r>
    </w:p>
    <w:p>
      <w:pPr>
        <w:pStyle w:val="ListParagraph"/>
        <w:numPr>
          <w:ilvl w:val="0"/>
          <w:numId w:val="3"/>
        </w:numPr>
        <w:spacing w:after="80" w:line="290"/>
      </w:pPr>
      <w:r>
        <w:rPr>
          <w:rFonts w:ascii="Montserrat" w:cs="Montserrat" w:eastAsia="Montserrat" w:hAnsi="Montserrat"/>
          <w:b w:val="false"/>
          <w:bCs w:val="false"/>
          <w:i w:val="false"/>
          <w:iCs w:val="false"/>
          <w:color w:val="3F464C"/>
          <w:sz w:val="18"/>
          <w:szCs w:val="18"/>
        </w:rPr>
        <w:t xml:space="preserve">The result is stored anonymously. The email goes to Campaign Monitor with consent recorded.</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The unknown-ingredient message is worth writing carefully. Saying we have not covered that one yet is honest and in voice. Guessing is the only version that does damage.</w:t>
      </w:r>
    </w:p>
    <w:p>
      <w:pPr>
        <w:spacing w:after="120" w:before="340" w:line="300"/>
      </w:pPr>
      <w:r>
        <w:rPr>
          <w:rFonts w:ascii="Montserrat" w:cs="Montserrat" w:eastAsia="Montserrat" w:hAnsi="Montserrat"/>
          <w:b/>
          <w:bCs/>
          <w:i w:val="false"/>
          <w:iCs w:val="false"/>
          <w:color w:val="1C1F22"/>
          <w:sz w:val="25"/>
          <w:szCs w:val="25"/>
        </w:rPr>
        <w:t xml:space="preserve">4. The ingredient library</w:t>
      </w:r>
    </w:p>
    <w:p>
      <w:pPr>
        <w:spacing w:after="120" w:before="0" w:line="290"/>
        <w:jc w:val="left"/>
      </w:pPr>
      <w:r>
        <w:rPr>
          <w:rFonts w:ascii="Montserrat" w:cs="Montserrat" w:eastAsia="Montserrat" w:hAnsi="Montserrat"/>
          <w:b w:val="false"/>
          <w:bCs w:val="false"/>
          <w:i w:val="false"/>
          <w:iCs w:val="false"/>
          <w:color w:val="3F464C"/>
          <w:sz w:val="18"/>
          <w:szCs w:val="18"/>
        </w:rPr>
        <w:t xml:space="preserve">One custom post type. Each entry carries the fields below. The role and use-range fields are what make the engine possible, so they are not optional extras.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Field</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What it holds</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inci_name</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The primary INCI name. Unique.</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also_known_as</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Aliases, alternate spellings, common misspellings and trade names. Drives matching.</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role</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Controlled vocabulary, one or more: active, antioxidant, humectant, emollient, occlusive, emulsifier, thickener, solvent, surfactant, preservative, chelator, pH adjuster, film former, fragrance, colourant, UV filter.</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use_low, use_high</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Typical use range as a percentage. The engine reads this, she does not need to.</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sub_one_marker</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Yes or no. Ingredients almost always used below one per cent. These are how the engine locates the line.</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ingredient_family</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Taxonomy term. See section 5.</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skin_topic</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Taxonomy term, shared with articles. See section 5.</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description</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Two or three sentences in plain English. What it does in a formula.</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evidence_note</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What the evidence actually supports, and where it does not. Optional.</w:t>
            </w:r>
          </w:p>
        </w:tc>
      </w:tr>
      <w:tr>
        <w:trPr>
          <w:tblHeader w:val="false"/>
        </w:trPr>
        <w:tc>
          <w:tcPr>
            <w:tcW w:type="dxa" w:w="24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founder_take</w:t>
            </w:r>
          </w:p>
        </w:tc>
        <w:tc>
          <w:tcPr>
            <w:tcW w:type="dxa" w:w="70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Optional, founder voice, only where there is a real view. See section 8.</w:t>
            </w:r>
          </w:p>
        </w:tc>
      </w:tr>
      <w:tr>
        <w:trPr>
          <w:tblHeader w:val="false"/>
        </w:trPr>
        <w:tc>
          <w:tcPr>
            <w:tcW w:type="dxa" w:w="24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status</w:t>
            </w:r>
          </w:p>
        </w:tc>
        <w:tc>
          <w:tcPr>
            <w:tcW w:type="dxa" w:w="7012"/>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Draft, needs review, or published. Nothing reaches the front end unreviewed.</w:t>
            </w:r>
          </w:p>
        </w:tc>
      </w:tr>
    </w:tbl>
    <w:p>
      <w:pPr>
        <w:spacing w:after="140"/>
      </w:pPr>
      <w:r>
        <w:rPr>
          <w:rFonts w:ascii="Montserrat" w:cs="Montserrat" w:eastAsia="Montserrat" w:hAnsi="Montserrat"/>
          <w:b w:val="false"/>
          <w:bCs w:val="false"/>
          <w:i w:val="false"/>
          <w:iCs w:val="false"/>
          <w:color w:val="3F464C"/>
          <w:sz w:val="18"/>
          <w:szCs w:val="18"/>
        </w:rPr>
        <w:t xml:space="preserve"/>
      </w:r>
    </w:p>
    <w:p>
      <w:pPr>
        <w:spacing w:after="120" w:before="0" w:line="290"/>
        <w:jc w:val="left"/>
      </w:pPr>
      <w:r>
        <w:rPr>
          <w:rFonts w:ascii="Montserrat" w:cs="Montserrat" w:eastAsia="Montserrat" w:hAnsi="Montserrat"/>
          <w:b/>
          <w:bCs/>
          <w:i w:val="false"/>
          <w:iCs w:val="false"/>
          <w:color w:val="1C1F22"/>
          <w:sz w:val="18"/>
          <w:szCs w:val="18"/>
        </w:rPr>
        <w:t xml:space="preserve">Coverage.</w:t>
      </w:r>
      <w:r>
        <w:rPr>
          <w:rFonts w:ascii="Montserrat" w:cs="Montserrat" w:eastAsia="Montserrat" w:hAnsi="Montserrat"/>
          <w:b w:val="false"/>
          <w:bCs w:val="false"/>
          <w:i w:val="false"/>
          <w:iCs w:val="false"/>
          <w:color w:val="3F464C"/>
          <w:sz w:val="18"/>
          <w:szCs w:val="18"/>
        </w:rPr>
        <w:t xml:space="preserve"> Roughly 250 to 300 INCI names covers the large majority of what she would ever paste in, because most labels are the same handful of emollients, emulsifiers, humectants and preservatives with two or three actives on top.</w:t>
      </w:r>
    </w:p>
    <w:p>
      <w:pPr>
        <w:spacing w:after="120" w:before="0" w:line="290"/>
        <w:jc w:val="left"/>
      </w:pPr>
      <w:r>
        <w:rPr>
          <w:rFonts w:ascii="Montserrat" w:cs="Montserrat" w:eastAsia="Montserrat" w:hAnsi="Montserrat"/>
          <w:b/>
          <w:bCs/>
          <w:i w:val="false"/>
          <w:iCs w:val="false"/>
          <w:color w:val="1C1F22"/>
          <w:sz w:val="18"/>
          <w:szCs w:val="18"/>
        </w:rPr>
        <w:t xml:space="preserve">Natural origin is deliberately absent.</w:t>
      </w:r>
      <w:r>
        <w:rPr>
          <w:rFonts w:ascii="Montserrat" w:cs="Montserrat" w:eastAsia="Montserrat" w:hAnsi="Montserrat"/>
          <w:b w:val="false"/>
          <w:bCs w:val="false"/>
          <w:i w:val="false"/>
          <w:iCs w:val="false"/>
          <w:color w:val="3F464C"/>
          <w:sz w:val="18"/>
          <w:szCs w:val="18"/>
        </w:rPr>
        <w:t xml:space="preserve"> ISO 16128 natural origin cannot be calculated from an INCI list, because two suppliers’ glycerin share an INCI name and differ by feedstock and process. The figure is only knowable for Apotheca®’s own products, where the raw materials are known. Including it here would be a standard the tool could not honestly meet.</w:t>
      </w:r>
    </w:p>
    <w:p>
      <w:pPr>
        <w:spacing w:after="120" w:before="340" w:line="300"/>
      </w:pPr>
      <w:r>
        <w:rPr>
          <w:rFonts w:ascii="Montserrat" w:cs="Montserrat" w:eastAsia="Montserrat" w:hAnsi="Montserrat"/>
          <w:b/>
          <w:bCs/>
          <w:i w:val="false"/>
          <w:iCs w:val="false"/>
          <w:color w:val="1C1F22"/>
          <w:sz w:val="25"/>
          <w:szCs w:val="25"/>
        </w:rPr>
        <w:t xml:space="preserve">5. Taxonomy and article linking</w:t>
      </w:r>
    </w:p>
    <w:p>
      <w:pPr>
        <w:spacing w:after="120" w:before="0" w:line="290"/>
        <w:jc w:val="left"/>
      </w:pPr>
      <w:r>
        <w:rPr>
          <w:rFonts w:ascii="Montserrat" w:cs="Montserrat" w:eastAsia="Montserrat" w:hAnsi="Montserrat"/>
          <w:b w:val="false"/>
          <w:bCs w:val="false"/>
          <w:i w:val="false"/>
          <w:iCs w:val="false"/>
          <w:color w:val="3F464C"/>
          <w:sz w:val="18"/>
          <w:szCs w:val="18"/>
        </w:rPr>
        <w:t xml:space="preserve">Article links are never hard-coded into ingredient entries. Three hundred entries pointing at individual posts means every new article needs dozens of manual edits, and that stops happening by month two. Two shared taxonomies do the work instead.</w:t>
      </w:r>
    </w:p>
    <w:p>
      <w:pPr>
        <w:spacing w:after="70" w:before="220" w:line="280"/>
      </w:pPr>
      <w:r>
        <w:rPr>
          <w:rFonts w:ascii="Montserrat" w:cs="Montserrat" w:eastAsia="Montserrat" w:hAnsi="Montserrat"/>
          <w:b/>
          <w:bCs/>
          <w:i w:val="false"/>
          <w:iCs w:val="false"/>
          <w:color w:val="1C1F22"/>
          <w:sz w:val="20"/>
          <w:szCs w:val="20"/>
        </w:rPr>
        <w:t xml:space="preserve">Ingredient Family</w:t>
      </w:r>
    </w:p>
    <w:p>
      <w:pPr>
        <w:spacing w:after="120" w:before="0" w:line="290"/>
        <w:jc w:val="left"/>
      </w:pPr>
      <w:r>
        <w:rPr>
          <w:rFonts w:ascii="Montserrat" w:cs="Montserrat" w:eastAsia="Montserrat" w:hAnsi="Montserrat"/>
          <w:b w:val="false"/>
          <w:bCs w:val="false"/>
          <w:i w:val="false"/>
          <w:iCs w:val="false"/>
          <w:color w:val="3F464C"/>
          <w:sz w:val="18"/>
          <w:szCs w:val="18"/>
        </w:rPr>
        <w:t xml:space="preserve">Applied to ingredients only. Retinoids. Vitamin C and antioxidants. Exfoliating acids. Peptides. Niacinamide. Humectants. Barrier lipids. Emollients. Emulsifiers. Texture and thickeners. Preservatives. Fragrance and essential oils. UV filters. Solvents and carriers. Botanical extracts.</w:t>
      </w:r>
    </w:p>
    <w:p>
      <w:pPr>
        <w:spacing w:after="70" w:before="220" w:line="280"/>
      </w:pPr>
      <w:r>
        <w:rPr>
          <w:rFonts w:ascii="Montserrat" w:cs="Montserrat" w:eastAsia="Montserrat" w:hAnsi="Montserrat"/>
          <w:b/>
          <w:bCs/>
          <w:i w:val="false"/>
          <w:iCs w:val="false"/>
          <w:color w:val="1C1F22"/>
          <w:sz w:val="20"/>
          <w:szCs w:val="20"/>
        </w:rPr>
        <w:t xml:space="preserve">Skin Topic</w:t>
      </w:r>
    </w:p>
    <w:p>
      <w:pPr>
        <w:spacing w:after="120" w:before="0" w:line="290"/>
        <w:jc w:val="left"/>
      </w:pPr>
      <w:r>
        <w:rPr>
          <w:rFonts w:ascii="Montserrat" w:cs="Montserrat" w:eastAsia="Montserrat" w:hAnsi="Montserrat"/>
          <w:b w:val="false"/>
          <w:bCs w:val="false"/>
          <w:i w:val="false"/>
          <w:iCs w:val="false"/>
          <w:color w:val="3F464C"/>
          <w:sz w:val="18"/>
          <w:szCs w:val="18"/>
        </w:rPr>
        <w:t xml:space="preserve">Applied to both ingredients and articles. Pigmentation. Firmness and collagen. Barrier and sensitivity. Hydration. Texture and pores. Congestion. Perimenopause and skin. Ageing and cell turnover. Formulation and use levels. Clean and natural origin.</w:t>
      </w:r>
    </w:p>
    <w:p>
      <w:pPr>
        <w:spacing w:after="120" w:before="0" w:line="290"/>
        <w:jc w:val="left"/>
      </w:pPr>
      <w:r>
        <w:rPr>
          <w:rFonts w:ascii="Montserrat" w:cs="Montserrat" w:eastAsia="Montserrat" w:hAnsi="Montserrat"/>
          <w:b/>
          <w:bCs/>
          <w:i w:val="false"/>
          <w:iCs w:val="false"/>
          <w:color w:val="1C1F22"/>
          <w:sz w:val="18"/>
          <w:szCs w:val="18"/>
        </w:rPr>
        <w:t xml:space="preserve">Matching.</w:t>
      </w:r>
      <w:r>
        <w:rPr>
          <w:rFonts w:ascii="Montserrat" w:cs="Montserrat" w:eastAsia="Montserrat" w:hAnsi="Montserrat"/>
          <w:b w:val="false"/>
          <w:bCs w:val="false"/>
          <w:i w:val="false"/>
          <w:iCs w:val="false"/>
          <w:color w:val="3F464C"/>
          <w:sz w:val="18"/>
          <w:szCs w:val="18"/>
        </w:rPr>
        <w:t xml:space="preserve"> The read-next block draws on what the analysis flagged, not on every ingredient present. If the finding concerned retinol placement, she gets the retinoid article, not one about preservatives. Skin Topic is weighted above Ingredient Family, since it is closer to why she is there. Capped at three. If the match is weak, show nothing, because three loosely related links on every result teach her the links are not worth clicking.</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Two useful side effects. Publishing a new article needs one tag and it appears everywhere it is relevant. And any Skin Topic with no article behind it is a gap in the library, visible at a glance.</w:t>
      </w:r>
    </w:p>
    <w:p>
      <w:pPr>
        <w:spacing w:after="120" w:before="340" w:line="300"/>
      </w:pPr>
      <w:r>
        <w:rPr>
          <w:rFonts w:ascii="Montserrat" w:cs="Montserrat" w:eastAsia="Montserrat" w:hAnsi="Montserrat"/>
          <w:b/>
          <w:bCs/>
          <w:i w:val="false"/>
          <w:iCs w:val="false"/>
          <w:color w:val="1C1F22"/>
          <w:sz w:val="25"/>
          <w:szCs w:val="25"/>
        </w:rPr>
        <w:t xml:space="preserve">6. The analysis engine</w:t>
      </w:r>
    </w:p>
    <w:p>
      <w:pPr>
        <w:spacing w:after="120" w:before="0" w:line="290"/>
        <w:jc w:val="left"/>
      </w:pPr>
      <w:r>
        <w:rPr>
          <w:rFonts w:ascii="Montserrat" w:cs="Montserrat" w:eastAsia="Montserrat" w:hAnsi="Montserrat"/>
          <w:b w:val="false"/>
          <w:bCs w:val="false"/>
          <w:i w:val="false"/>
          <w:iCs w:val="false"/>
          <w:color w:val="3F464C"/>
          <w:sz w:val="18"/>
          <w:szCs w:val="18"/>
        </w:rPr>
        <w:t xml:space="preserve">Almost none of this is AI work. It is logic applied to the metadata in section 4, which means it is instant, free to run, and returns the same answer every time she runs it. That last point matters more than it sounds, because she will screenshot the result.</w:t>
      </w:r>
    </w:p>
    <w:p>
      <w:pPr>
        <w:spacing w:after="70" w:before="220" w:line="280"/>
      </w:pPr>
      <w:r>
        <w:rPr>
          <w:rFonts w:ascii="Montserrat" w:cs="Montserrat" w:eastAsia="Montserrat" w:hAnsi="Montserrat"/>
          <w:b/>
          <w:bCs/>
          <w:i w:val="false"/>
          <w:iCs w:val="false"/>
          <w:color w:val="1C1F22"/>
          <w:sz w:val="20"/>
          <w:szCs w:val="20"/>
        </w:rPr>
        <w:t xml:space="preserve">Rules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Locate the one per cent line.</w:t>
      </w:r>
      <w:r>
        <w:rPr>
          <w:rFonts w:ascii="Montserrat" w:cs="Montserrat" w:eastAsia="Montserrat" w:hAnsi="Montserrat"/>
          <w:b w:val="false"/>
          <w:bCs w:val="false"/>
          <w:i w:val="false"/>
          <w:iCs w:val="false"/>
          <w:color w:val="3F464C"/>
          <w:sz w:val="18"/>
          <w:szCs w:val="18"/>
        </w:rPr>
        <w:t xml:space="preserve"> Find the first ingredient flagged as a sub-one marker, confirm with a second marker further down, and treat everything from that point as likely below one per cent.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Place the actives.</w:t>
      </w:r>
      <w:r>
        <w:rPr>
          <w:rFonts w:ascii="Montserrat" w:cs="Montserrat" w:eastAsia="Montserrat" w:hAnsi="Montserrat"/>
          <w:b w:val="false"/>
          <w:bCs w:val="false"/>
          <w:i w:val="false"/>
          <w:iCs w:val="false"/>
          <w:color w:val="3F464C"/>
          <w:sz w:val="18"/>
          <w:szCs w:val="18"/>
        </w:rPr>
        <w:t xml:space="preserve"> Report which side of that line each active sits on, and its position.</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Describe the base.</w:t>
      </w:r>
      <w:r>
        <w:rPr>
          <w:rFonts w:ascii="Montserrat" w:cs="Montserrat" w:eastAsia="Montserrat" w:hAnsi="Montserrat"/>
          <w:b w:val="false"/>
          <w:bCs w:val="false"/>
          <w:i w:val="false"/>
          <w:iCs w:val="false"/>
          <w:color w:val="3F464C"/>
          <w:sz w:val="18"/>
          <w:szCs w:val="18"/>
        </w:rPr>
        <w:t xml:space="preserve"> Count roles across the top third of the list to say what the product is built on before anything else is added.</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Note the shape.</w:t>
      </w:r>
      <w:r>
        <w:rPr>
          <w:rFonts w:ascii="Montserrat" w:cs="Montserrat" w:eastAsia="Montserrat" w:hAnsi="Montserrat"/>
          <w:b w:val="false"/>
          <w:bCs w:val="false"/>
          <w:i w:val="false"/>
          <w:iCs w:val="false"/>
          <w:color w:val="3F464C"/>
          <w:sz w:val="18"/>
          <w:szCs w:val="18"/>
        </w:rPr>
        <w:t xml:space="preserve"> An unusually short list, an unusually long one, fragrance high in the list, a heavily loaded top third.</w:t>
      </w:r>
    </w:p>
    <w:p>
      <w:pPr>
        <w:spacing w:after="120" w:before="0" w:line="290"/>
        <w:jc w:val="left"/>
      </w:pPr>
      <w:r>
        <w:rPr>
          <w:rFonts w:ascii="Montserrat" w:cs="Montserrat" w:eastAsia="Montserrat" w:hAnsi="Montserrat"/>
          <w:b/>
          <w:bCs/>
          <w:i w:val="false"/>
          <w:iCs w:val="false"/>
          <w:color w:val="1C1F22"/>
          <w:sz w:val="18"/>
          <w:szCs w:val="18"/>
        </w:rPr>
        <w:t xml:space="preserve">The inference has to be stated as an inference.</w:t>
      </w:r>
      <w:r>
        <w:rPr>
          <w:rFonts w:ascii="Montserrat" w:cs="Montserrat" w:eastAsia="Montserrat" w:hAnsi="Montserrat"/>
          <w:b w:val="false"/>
          <w:bCs w:val="false"/>
          <w:i w:val="false"/>
          <w:iCs w:val="false"/>
          <w:color w:val="3F464C"/>
          <w:sz w:val="18"/>
          <w:szCs w:val="18"/>
        </w:rPr>
        <w:t xml:space="preserve"> Order below one per cent is unregulated and some brands list alphabetically there. So the language is "appears to sit below", never "is at 0.3%". Same discipline as the product copy: state a standard, do not overstate it.</w:t>
      </w:r>
    </w:p>
    <w:p>
      <w:pPr>
        <w:spacing w:after="70" w:before="220" w:line="280"/>
      </w:pPr>
      <w:r>
        <w:rPr>
          <w:rFonts w:ascii="Montserrat" w:cs="Montserrat" w:eastAsia="Montserrat" w:hAnsi="Montserrat"/>
          <w:b/>
          <w:bCs/>
          <w:i w:val="false"/>
          <w:iCs w:val="false"/>
          <w:color w:val="1C1F22"/>
          <w:sz w:val="20"/>
          <w:szCs w:val="20"/>
        </w:rPr>
        <w:t xml:space="preserve">Where the AI sits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Drafting entries in the admin.</w:t>
      </w:r>
      <w:r>
        <w:rPr>
          <w:rFonts w:ascii="Montserrat" w:cs="Montserrat" w:eastAsia="Montserrat" w:hAnsi="Montserrat"/>
          <w:b w:val="false"/>
          <w:bCs w:val="false"/>
          <w:i w:val="false"/>
          <w:iCs w:val="false"/>
          <w:color w:val="3F464C"/>
          <w:sz w:val="18"/>
          <w:szCs w:val="18"/>
        </w:rPr>
        <w:t xml:space="preserve"> An unknown ingredient is drafted once, reviewed by Nick, published, and then it is a database row forever. One call per ingredient for the life of the tool.</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Transcribing a photographed label.</w:t>
      </w:r>
      <w:r>
        <w:rPr>
          <w:rFonts w:ascii="Montserrat" w:cs="Montserrat" w:eastAsia="Montserrat" w:hAnsi="Montserrat"/>
          <w:b w:val="false"/>
          <w:bCs w:val="false"/>
          <w:i w:val="false"/>
          <w:iCs w:val="false"/>
          <w:color w:val="3F464C"/>
          <w:sz w:val="18"/>
          <w:szCs w:val="18"/>
        </w:rPr>
        <w:t xml:space="preserve"> A vision call beats traditional OCR badly on small, curved, glossy text. It is transcription rather than interpretation, and she verifies it on screen before anything is analysed, so there is no room for it to invent a finding.</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Not in the analysis.</w:t>
      </w:r>
      <w:r>
        <w:rPr>
          <w:rFonts w:ascii="Montserrat" w:cs="Montserrat" w:eastAsia="Montserrat" w:hAnsi="Montserrat"/>
          <w:b w:val="false"/>
          <w:bCs w:val="false"/>
          <w:i w:val="false"/>
          <w:iCs w:val="false"/>
          <w:color w:val="3F464C"/>
          <w:sz w:val="18"/>
          <w:szCs w:val="18"/>
        </w:rPr>
        <w:t xml:space="preserve"> Findings are produced by rules, phrased from templates written in the Apotheca® voice. If the output later feels mechanical, an AI write-up layer can be added that phrases the engine’s findings without doing any analysis itself.</w:t>
      </w:r>
    </w:p>
    <w:p>
      <w:pPr>
        <w:pBdr>
          <w:left w:val="single" w:color="D4D9DD" w:sz="6" w:space="10"/>
        </w:pBdr>
        <w:spacing w:after="160" w:before="100" w:line="280"/>
        <w:ind w:left="200"/>
      </w:pPr>
      <w:r>
        <w:rPr>
          <w:rFonts w:ascii="Montserrat" w:cs="Montserrat" w:eastAsia="Montserrat" w:hAnsi="Montserrat"/>
          <w:b w:val="false"/>
          <w:bCs w:val="false"/>
          <w:i/>
          <w:iCs/>
          <w:color w:val="6E767D"/>
          <w:sz w:val="17"/>
          <w:szCs w:val="17"/>
        </w:rPr>
        <w:t xml:space="preserve">Cost is not the argument here. At these volumes a live call is well under a cent. The arguments are consistency, no hallucination on a tool that sells the brand’s credibility, instant response, and a database owned rather than an answer rented.</w:t>
      </w:r>
    </w:p>
    <w:p>
      <w:pPr>
        <w:spacing w:after="120" w:before="340" w:line="300"/>
      </w:pPr>
      <w:r>
        <w:rPr>
          <w:rFonts w:ascii="Montserrat" w:cs="Montserrat" w:eastAsia="Montserrat" w:hAnsi="Montserrat"/>
          <w:b/>
          <w:bCs/>
          <w:i w:val="false"/>
          <w:iCs w:val="false"/>
          <w:color w:val="1C1F22"/>
          <w:sz w:val="25"/>
          <w:szCs w:val="25"/>
        </w:rPr>
        <w:t xml:space="preserve">7. Neutrality</w:t>
      </w:r>
    </w:p>
    <w:p>
      <w:pPr>
        <w:spacing w:after="120" w:before="0" w:line="290"/>
        <w:jc w:val="left"/>
      </w:pPr>
      <w:r>
        <w:rPr>
          <w:rFonts w:ascii="Montserrat" w:cs="Montserrat" w:eastAsia="Montserrat" w:hAnsi="Montserrat"/>
          <w:b w:val="false"/>
          <w:bCs w:val="false"/>
          <w:i w:val="false"/>
          <w:iCs w:val="false"/>
          <w:color w:val="3F464C"/>
          <w:sz w:val="18"/>
          <w:szCs w:val="18"/>
        </w:rPr>
        <w:t xml:space="preserve">The tool never passes judgement on another brand’s formula. It is not Apotheca®’s job to mark other people’s homework, and the moment it reads that way she stops trusting it and starts discounting it. It is also the tool’s legal exposure.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State the position, not the conclusion.</w:t>
      </w:r>
      <w:r>
        <w:rPr>
          <w:rFonts w:ascii="Montserrat" w:cs="Montserrat" w:eastAsia="Montserrat" w:hAnsi="Montserrat"/>
          <w:b w:val="false"/>
          <w:bCs w:val="false"/>
          <w:i w:val="false"/>
          <w:iCs w:val="false"/>
          <w:color w:val="3F464C"/>
          <w:sz w:val="18"/>
          <w:szCs w:val="18"/>
        </w:rPr>
        <w:t xml:space="preserve"> "Retinol appears below the one per cent line" is factual. "Your retinol is barely there" is a verdict wearing a fact’s clothes. She is capable of drawing the conclusion herself, and she will trust it more for having drawn it.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 brand names anywhere in the output.</w:t>
      </w:r>
      <w:r>
        <w:rPr>
          <w:rFonts w:ascii="Montserrat" w:cs="Montserrat" w:eastAsia="Montserrat" w:hAnsi="Montserrat"/>
          <w:b w:val="false"/>
          <w:bCs w:val="false"/>
          <w:i w:val="false"/>
          <w:iCs w:val="false"/>
          <w:color w:val="3F464C"/>
          <w:sz w:val="18"/>
          <w:szCs w:val="18"/>
        </w:rPr>
        <w:t xml:space="preserve"> The permitted construction is "some brands".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Category norms may be described, companies may not.</w:t>
      </w:r>
      <w:r>
        <w:rPr>
          <w:rFonts w:ascii="Montserrat" w:cs="Montserrat" w:eastAsia="Montserrat" w:hAnsi="Montserrat"/>
          <w:b w:val="false"/>
          <w:bCs w:val="false"/>
          <w:i w:val="false"/>
          <w:iCs w:val="false"/>
          <w:color w:val="3F464C"/>
          <w:sz w:val="18"/>
          <w:szCs w:val="18"/>
        </w:rPr>
        <w:t xml:space="preserve"> Curious, never superior.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No product recommendations in the result, before or after launch.</w:t>
      </w:r>
      <w:r>
        <w:rPr>
          <w:rFonts w:ascii="Montserrat" w:cs="Montserrat" w:eastAsia="Montserrat" w:hAnsi="Montserrat"/>
          <w:b w:val="false"/>
          <w:bCs w:val="false"/>
          <w:i w:val="false"/>
          <w:iCs w:val="false"/>
          <w:color w:val="3F464C"/>
          <w:sz w:val="18"/>
          <w:szCs w:val="18"/>
        </w:rPr>
        <w:t xml:space="preserve"> Articles are fine, because they are useful to her either way. Anything that nudges her toward Apotheca® turns the tool into an advertisement and she will feel it immediately.</w:t>
      </w:r>
    </w:p>
    <w:p>
      <w:pPr>
        <w:spacing w:after="120" w:before="340" w:line="300"/>
      </w:pPr>
      <w:r>
        <w:rPr>
          <w:rFonts w:ascii="Montserrat" w:cs="Montserrat" w:eastAsia="Montserrat" w:hAnsi="Montserrat"/>
          <w:b/>
          <w:bCs/>
          <w:i w:val="false"/>
          <w:iCs w:val="false"/>
          <w:color w:val="1C1F22"/>
          <w:sz w:val="25"/>
          <w:szCs w:val="25"/>
        </w:rPr>
        <w:t xml:space="preserve">8. Writing the library</w:t>
      </w:r>
    </w:p>
    <w:p>
      <w:pPr>
        <w:spacing w:after="120" w:before="0" w:line="290"/>
        <w:jc w:val="left"/>
      </w:pPr>
      <w:r>
        <w:rPr>
          <w:rFonts w:ascii="Montserrat" w:cs="Montserrat" w:eastAsia="Montserrat" w:hAnsi="Montserrat"/>
          <w:b w:val="false"/>
          <w:bCs w:val="false"/>
          <w:i w:val="false"/>
          <w:iCs w:val="false"/>
          <w:color w:val="3F464C"/>
          <w:sz w:val="18"/>
          <w:szCs w:val="18"/>
        </w:rPr>
        <w:t xml:space="preserve">Entries are drafted in batches of twenty-five to thirty, delivered as a Word document for review, then converted to CSV for import once approved. One direction only: the Word document is the proof copy, the CSV is generated after sign-off. Corrections made in batch one carry into every batch after.</w:t>
      </w:r>
    </w:p>
    <w:p>
      <w:pPr>
        <w:spacing w:after="120" w:before="0" w:line="290"/>
        <w:jc w:val="left"/>
      </w:pPr>
      <w:r>
        <w:rPr>
          <w:rFonts w:ascii="Montserrat" w:cs="Montserrat" w:eastAsia="Montserrat" w:hAnsi="Montserrat"/>
          <w:b/>
          <w:bCs/>
          <w:i w:val="false"/>
          <w:iCs w:val="false"/>
          <w:color w:val="1C1F22"/>
          <w:sz w:val="18"/>
          <w:szCs w:val="18"/>
        </w:rPr>
        <w:t xml:space="preserve">The risk is sameness, not accuracy.</w:t>
      </w:r>
      <w:r>
        <w:rPr>
          <w:rFonts w:ascii="Montserrat" w:cs="Montserrat" w:eastAsia="Montserrat" w:hAnsi="Montserrat"/>
          <w:b w:val="false"/>
          <w:bCs w:val="false"/>
          <w:i w:val="false"/>
          <w:iCs w:val="false"/>
          <w:color w:val="3F464C"/>
          <w:sz w:val="18"/>
          <w:szCs w:val="18"/>
        </w:rPr>
        <w:t xml:space="preserve"> Three hundred entries generated in one pass share a rhythm, and that reads as a scraped database rather than something a chemist wrote. The fix is the split between the factual fields, which can be drafted, and the founder_take field, which only Nick writes and only where he has a real view. Fifty of those in his own voice carry three hundred entries. The rest can be plainly factual without pretending to be personal.</w:t>
      </w:r>
    </w:p>
    <w:p>
      <w:pPr>
        <w:spacing w:after="120" w:before="0" w:line="290"/>
        <w:jc w:val="left"/>
      </w:pPr>
      <w:r>
        <w:rPr>
          <w:rFonts w:ascii="Montserrat" w:cs="Montserrat" w:eastAsia="Montserrat" w:hAnsi="Montserrat"/>
          <w:b w:val="false"/>
          <w:bCs w:val="false"/>
          <w:i w:val="false"/>
          <w:iCs w:val="false"/>
          <w:color w:val="3F464C"/>
          <w:sz w:val="18"/>
          <w:szCs w:val="18"/>
        </w:rPr>
        <w:t xml:space="preserve">Use levels and evidence notes are the fields most worth a careful read before publishing.</w:t>
      </w:r>
    </w:p>
    <w:p>
      <w:pPr>
        <w:spacing w:after="120" w:before="340" w:line="300"/>
      </w:pPr>
      <w:r>
        <w:rPr>
          <w:rFonts w:ascii="Montserrat" w:cs="Montserrat" w:eastAsia="Montserrat" w:hAnsi="Montserrat"/>
          <w:b/>
          <w:bCs/>
          <w:i w:val="false"/>
          <w:iCs w:val="false"/>
          <w:color w:val="1C1F22"/>
          <w:sz w:val="25"/>
          <w:szCs w:val="25"/>
        </w:rPr>
        <w:t xml:space="preserve">9. Email, data and privacy</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Gate.</w:t>
      </w:r>
      <w:r>
        <w:rPr>
          <w:rFonts w:ascii="Montserrat" w:cs="Montserrat" w:eastAsia="Montserrat" w:hAnsi="Montserrat"/>
          <w:b w:val="false"/>
          <w:bCs w:val="false"/>
          <w:i w:val="false"/>
          <w:iCs w:val="false"/>
          <w:color w:val="3F464C"/>
          <w:sz w:val="18"/>
          <w:szCs w:val="18"/>
        </w:rPr>
        <w:t xml:space="preserve"> Summary shown, email requested, full breakdown and read-next released. Cookie set so she is not asked again on that device. She will be asked again on a different device or after clearing cookies, which is normal and acceptable.</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Consent.</w:t>
      </w:r>
      <w:r>
        <w:rPr>
          <w:rFonts w:ascii="Montserrat" w:cs="Montserrat" w:eastAsia="Montserrat" w:hAnsi="Montserrat"/>
          <w:b w:val="false"/>
          <w:bCs w:val="false"/>
          <w:i w:val="false"/>
          <w:iCs w:val="false"/>
          <w:color w:val="3F464C"/>
          <w:sz w:val="18"/>
          <w:szCs w:val="18"/>
        </w:rPr>
        <w:t xml:space="preserve"> Unlocking a tool is not consent to marketing. The form needs separate, clear wording if the address is going into Campaign Monitor for anything beyond sending her the result.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Anonymised means unlinked.</w:t>
      </w:r>
      <w:r>
        <w:rPr>
          <w:rFonts w:ascii="Montserrat" w:cs="Montserrat" w:eastAsia="Montserrat" w:hAnsi="Montserrat"/>
          <w:b w:val="false"/>
          <w:bCs w:val="false"/>
          <w:i w:val="false"/>
          <w:iCs w:val="false"/>
          <w:color w:val="3F464C"/>
          <w:sz w:val="18"/>
          <w:szCs w:val="18"/>
        </w:rPr>
        <w:t xml:space="preserve"> If the pasted list sits in the same record as her email it is not anonymous, it is personal data with a friendly label. Lists go in their own table with no identifier back to the person.</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Privacy policy.</w:t>
      </w:r>
      <w:r>
        <w:rPr>
          <w:rFonts w:ascii="Montserrat" w:cs="Montserrat" w:eastAsia="Montserrat" w:hAnsi="Montserrat"/>
          <w:b w:val="false"/>
          <w:bCs w:val="false"/>
          <w:i w:val="false"/>
          <w:iCs w:val="false"/>
          <w:color w:val="3F464C"/>
          <w:sz w:val="18"/>
          <w:szCs w:val="18"/>
        </w:rPr>
        <w:t xml:space="preserve"> One added line: ingredient lists are retained, without identifying information, to improve the tool. Cheap now, awkward to unpick later.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Abuse.</w:t>
      </w:r>
      <w:r>
        <w:rPr>
          <w:rFonts w:ascii="Montserrat" w:cs="Montserrat" w:eastAsia="Montserrat" w:hAnsi="Montserrat"/>
          <w:b w:val="false"/>
          <w:bCs w:val="false"/>
          <w:i w:val="false"/>
          <w:iCs w:val="false"/>
          <w:color w:val="3F464C"/>
          <w:sz w:val="18"/>
          <w:szCs w:val="18"/>
        </w:rPr>
        <w:t xml:space="preserve"> The real cost risk is a bot hammering a public endpoint, not normal use. Per-IP rate limiting, a hard daily cap, tighter limits on image uploads than on pastes, and a spend cap set in the API console.</w:t>
      </w:r>
    </w:p>
    <w:p>
      <w:pPr>
        <w:spacing w:after="120" w:before="340" w:line="300"/>
      </w:pPr>
      <w:r>
        <w:rPr>
          <w:rFonts w:ascii="Montserrat" w:cs="Montserrat" w:eastAsia="Montserrat" w:hAnsi="Montserrat"/>
          <w:b/>
          <w:bCs/>
          <w:i w:val="false"/>
          <w:iCs w:val="false"/>
          <w:color w:val="1C1F22"/>
          <w:sz w:val="25"/>
          <w:szCs w:val="25"/>
        </w:rPr>
        <w:t xml:space="preserve">10. Build order</w:t>
      </w:r>
    </w:p>
    <w:p>
      <w:pPr>
        <w:spacing w:after="120" w:before="0" w:line="290"/>
        <w:jc w:val="left"/>
      </w:pPr>
      <w:r>
        <w:rPr>
          <w:rFonts w:ascii="Montserrat" w:cs="Montserrat" w:eastAsia="Montserrat" w:hAnsi="Montserrat"/>
          <w:b w:val="false"/>
          <w:bCs w:val="false"/>
          <w:i w:val="false"/>
          <w:iCs w:val="false"/>
          <w:color w:val="3F464C"/>
          <w:sz w:val="18"/>
          <w:szCs w:val="18"/>
        </w:rPr>
        <w:t xml:space="preserve">Written to be handed to Claude Code one stage at a time. Each stage should work on its own before the next begins.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tblHeader/>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Stage</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What gets built</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Standalone plugin scaffold. Ingredient custom post type, both taxonomies, admin columns, controlled vocabulary for role.</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2</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CSV importer with field mapping and an update-existing option.</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3</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Parser and matcher. Normalisation, alias lookup, fuzzy matching and the did-you-mean response.</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4</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Analysis engine. The rules in section 6, returning structured findings.</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5</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Front end. Input box, results layout, ingredient detail on tap. Mobile first.</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6</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Read-next block and taxonomy matching.</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7</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Email gate, cookie, Campaign Monitor connection, optional emailed result.</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8</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Anonymous storage of submitted lists. Unknown ingredient queue with admin drafting.</w:t>
            </w:r>
          </w:p>
        </w:tc>
      </w:tr>
      <w:tr>
        <w:trPr>
          <w:tblHeader w:val="false"/>
        </w:trPr>
        <w:tc>
          <w:tcPr>
            <w:tcW w:type="dxa" w:w="9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9</w:t>
            </w:r>
          </w:p>
        </w:tc>
        <w:tc>
          <w:tcPr>
            <w:tcW w:type="dxa" w:w="85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Rate limiting, daily caps, caching by normalised list.</w:t>
            </w:r>
          </w:p>
        </w:tc>
      </w:tr>
      <w:tr>
        <w:trPr>
          <w:tblHeader w:val="false"/>
        </w:trPr>
        <w:tc>
          <w:tcPr>
            <w:tcW w:type="dxa" w:w="9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10</w:t>
            </w:r>
          </w:p>
        </w:tc>
        <w:tc>
          <w:tcPr>
            <w:tcW w:type="dxa" w:w="8512"/>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Image upload, vision transcription into the editable box, verification step.</w:t>
            </w:r>
          </w:p>
        </w:tc>
      </w:tr>
    </w:tbl>
    <w:p>
      <w:pPr>
        <w:spacing w:after="140"/>
      </w:pPr>
      <w:r>
        <w:rPr>
          <w:rFonts w:ascii="Montserrat" w:cs="Montserrat" w:eastAsia="Montserrat" w:hAnsi="Montserrat"/>
          <w:b w:val="false"/>
          <w:bCs w:val="false"/>
          <w:i w:val="false"/>
          <w:iCs w:val="false"/>
          <w:color w:val="3F464C"/>
          <w:sz w:val="18"/>
          <w:szCs w:val="18"/>
        </w:rPr>
        <w:t xml:space="preserve"/>
      </w:r>
    </w:p>
    <w:p>
      <w:pPr>
        <w:spacing w:after="120" w:before="0" w:line="290"/>
        <w:jc w:val="left"/>
      </w:pPr>
      <w:r>
        <w:rPr>
          <w:rFonts w:ascii="Montserrat" w:cs="Montserrat" w:eastAsia="Montserrat" w:hAnsi="Montserrat"/>
          <w:b/>
          <w:bCs/>
          <w:i w:val="false"/>
          <w:iCs w:val="false"/>
          <w:color w:val="1C1F22"/>
          <w:sz w:val="18"/>
          <w:szCs w:val="18"/>
        </w:rPr>
        <w:t xml:space="preserve">Stage 10 can ship after launch.</w:t>
      </w:r>
      <w:r>
        <w:rPr>
          <w:rFonts w:ascii="Montserrat" w:cs="Montserrat" w:eastAsia="Montserrat" w:hAnsi="Montserrat"/>
          <w:b w:val="false"/>
          <w:bCs w:val="false"/>
          <w:i w:val="false"/>
          <w:iCs w:val="false"/>
          <w:color w:val="3F464C"/>
          <w:sz w:val="18"/>
          <w:szCs w:val="18"/>
        </w:rPr>
        <w:t xml:space="preserve"> Photographing a label is the input most likely to frustrate her, and the tool should be solid on paste before the harder route opens.</w:t>
      </w:r>
    </w:p>
    <w:p>
      <w:pPr>
        <w:spacing w:after="120" w:before="340" w:line="300"/>
      </w:pPr>
      <w:r>
        <w:rPr>
          <w:rFonts w:ascii="Montserrat" w:cs="Montserrat" w:eastAsia="Montserrat" w:hAnsi="Montserrat"/>
          <w:b/>
          <w:bCs/>
          <w:i w:val="false"/>
          <w:iCs w:val="false"/>
          <w:color w:val="1C1F22"/>
          <w:sz w:val="25"/>
          <w:szCs w:val="25"/>
        </w:rPr>
        <w:t xml:space="preserve">11. Open decisions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Name clearance.</w:t>
      </w:r>
      <w:r>
        <w:rPr>
          <w:rFonts w:ascii="Montserrat" w:cs="Montserrat" w:eastAsia="Montserrat" w:hAnsi="Montserrat"/>
          <w:b w:val="false"/>
          <w:bCs w:val="false"/>
          <w:i w:val="false"/>
          <w:iCs w:val="false"/>
          <w:color w:val="3F464C"/>
          <w:sz w:val="18"/>
          <w:szCs w:val="18"/>
        </w:rPr>
        <w:t xml:space="preserve"> The name is settled as Ingredient List Decoder. It is descriptive, so it works as a feature name rather than as a mark worth registering, and it still needs a check that no other beauty brand is using it before it appears anywhere in print.</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How much shows before the gate.</w:t>
      </w:r>
      <w:r>
        <w:rPr>
          <w:rFonts w:ascii="Montserrat" w:cs="Montserrat" w:eastAsia="Montserrat" w:hAnsi="Montserrat"/>
          <w:b w:val="false"/>
          <w:bCs w:val="false"/>
          <w:i w:val="false"/>
          <w:iCs w:val="false"/>
          <w:color w:val="3F464C"/>
          <w:sz w:val="18"/>
          <w:szCs w:val="18"/>
        </w:rPr>
        <w:t xml:space="preserve"> A one-line summary is the current plan. Too little and she will not trade an email for it, too much and there is nothing left to unlock.</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Whether ingredient entries get public pages.</w:t>
      </w:r>
      <w:r>
        <w:rPr>
          <w:rFonts w:ascii="Montserrat" w:cs="Montserrat" w:eastAsia="Montserrat" w:hAnsi="Montserrat"/>
          <w:b w:val="false"/>
          <w:bCs w:val="false"/>
          <w:i w:val="false"/>
          <w:iCs w:val="false"/>
          <w:color w:val="3F464C"/>
          <w:sz w:val="18"/>
          <w:szCs w:val="18"/>
        </w:rPr>
        <w:t xml:space="preserve"> Recommendation is no for version one. Three hundred thin pages is a search liability. Index the topic archives instead, built out as proper hubs with original introductions, the relevant articles and the ingredients beneath. Twenty strong hubs beat three hundred weak pages.</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Whether to ask for the product name.</w:t>
      </w:r>
      <w:r>
        <w:rPr>
          <w:rFonts w:ascii="Montserrat" w:cs="Montserrat" w:eastAsia="Montserrat" w:hAnsi="Montserrat"/>
          <w:b w:val="false"/>
          <w:bCs w:val="false"/>
          <w:i w:val="false"/>
          <w:iCs w:val="false"/>
          <w:color w:val="3F464C"/>
          <w:sz w:val="18"/>
          <w:szCs w:val="18"/>
        </w:rPr>
        <w:t xml:space="preserve"> Optional and unverified, but a year of them is the beginning of the product database that makes search by name possible later.</w:t>
      </w:r>
    </w:p>
    <w:p>
      <w:pPr>
        <w:pStyle w:val="ListParagraph"/>
        <w:numPr>
          <w:ilvl w:val="0"/>
          <w:numId w:val="2"/>
        </w:numPr>
        <w:spacing w:after="80" w:line="290"/>
      </w:pPr>
      <w:r>
        <w:rPr>
          <w:rFonts w:ascii="Montserrat" w:cs="Montserrat" w:eastAsia="Montserrat" w:hAnsi="Montserrat"/>
          <w:b/>
          <w:bCs/>
          <w:i w:val="false"/>
          <w:iCs w:val="false"/>
          <w:color w:val="1C1F22"/>
          <w:sz w:val="18"/>
          <w:szCs w:val="18"/>
        </w:rPr>
        <w:t xml:space="preserve">Seed size.</w:t>
      </w:r>
      <w:r>
        <w:rPr>
          <w:rFonts w:ascii="Montserrat" w:cs="Montserrat" w:eastAsia="Montserrat" w:hAnsi="Montserrat"/>
          <w:b w:val="false"/>
          <w:bCs w:val="false"/>
          <w:i w:val="false"/>
          <w:iCs w:val="false"/>
          <w:color w:val="3F464C"/>
          <w:sz w:val="18"/>
          <w:szCs w:val="18"/>
        </w:rPr>
        <w:t xml:space="preserve"> 250 is workable, 300 is comfortable, and the first fortnight of live use will show exactly what is missing.</w:t>
      </w:r>
    </w:p>
    <w:p>
      <w:pPr>
        <w:spacing w:after="120" w:before="340" w:line="300"/>
      </w:pPr>
      <w:r>
        <w:rPr>
          <w:rFonts w:ascii="Montserrat" w:cs="Montserrat" w:eastAsia="Montserrat" w:hAnsi="Montserrat"/>
          <w:b/>
          <w:bCs/>
          <w:i w:val="false"/>
          <w:iCs w:val="false"/>
          <w:color w:val="1C1F22"/>
          <w:sz w:val="25"/>
          <w:szCs w:val="25"/>
        </w:rPr>
        <w:t xml:space="preserve">12.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6612"/>
      </w:tblGrid>
      <w:tr>
        <w:trPr>
          <w:tblHeader/>
        </w:trPr>
        <w:tc>
          <w:tcPr>
            <w:tcW w:type="dxa" w:w="28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Risk</w:t>
            </w:r>
          </w:p>
        </w:tc>
        <w:tc>
          <w:tcPr>
            <w:tcW w:type="dxa" w:w="66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Handling</w:t>
            </w:r>
          </w:p>
        </w:tc>
      </w:tr>
      <w:tr>
        <w:trPr>
          <w:tblHeader w:val="false"/>
        </w:trPr>
        <w:tc>
          <w:tcPr>
            <w:tcW w:type="dxa" w:w="28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Reads as brand-bashing</w:t>
            </w:r>
          </w:p>
        </w:tc>
        <w:tc>
          <w:tcPr>
            <w:tcW w:type="dxa" w:w="66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Section 7 is not a style preference, it is the condition on which the tool works at all.</w:t>
            </w:r>
          </w:p>
        </w:tc>
      </w:tr>
      <w:tr>
        <w:trPr>
          <w:tblHeader w:val="false"/>
        </w:trPr>
        <w:tc>
          <w:tcPr>
            <w:tcW w:type="dxa" w:w="28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Thin content penalty</w:t>
            </w:r>
          </w:p>
        </w:tc>
        <w:tc>
          <w:tcPr>
            <w:tcW w:type="dxa" w:w="66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Ingredient entries noindexed, topic hubs indexed and written properly.</w:t>
            </w:r>
          </w:p>
        </w:tc>
      </w:tr>
      <w:tr>
        <w:trPr>
          <w:tblHeader w:val="false"/>
        </w:trPr>
        <w:tc>
          <w:tcPr>
            <w:tcW w:type="dxa" w:w="28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Bad photograph, mangled list</w:t>
            </w:r>
          </w:p>
        </w:tc>
        <w:tc>
          <w:tcPr>
            <w:tcW w:type="dxa" w:w="66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Transcription is always shown and always editable before analysis.</w:t>
            </w:r>
          </w:p>
        </w:tc>
      </w:tr>
      <w:tr>
        <w:trPr>
          <w:tblHeader w:val="false"/>
        </w:trPr>
        <w:tc>
          <w:tcPr>
            <w:tcW w:type="dxa" w:w="28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Runaway API cost</w:t>
            </w:r>
          </w:p>
        </w:tc>
        <w:tc>
          <w:tcPr>
            <w:tcW w:type="dxa" w:w="66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Rate limits, daily caps, console spend cap, caching.</w:t>
            </w:r>
          </w:p>
        </w:tc>
      </w:tr>
      <w:tr>
        <w:trPr>
          <w:tblHeader w:val="false"/>
        </w:trPr>
        <w:tc>
          <w:tcPr>
            <w:tcW w:type="dxa" w:w="2800"/>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Library goes stale</w:t>
            </w:r>
          </w:p>
        </w:tc>
        <w:tc>
          <w:tcPr>
            <w:tcW w:type="dxa" w:w="6612"/>
            <w:tcBorders>
              <w:top w:val="none" w:color="FFFFFF" w:sz="0"/>
              <w:left w:val="none" w:color="FFFFFF" w:sz="0"/>
              <w:bottom w:val="single" w:color="D4D9DD" w:sz="4"/>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Unknown ingredient queue turns gaps into a working list rather than a maintenance chore.</w:t>
            </w:r>
          </w:p>
        </w:tc>
      </w:tr>
      <w:tr>
        <w:trPr>
          <w:tblHeader w:val="false"/>
        </w:trPr>
        <w:tc>
          <w:tcPr>
            <w:tcW w:type="dxa" w:w="2800"/>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bCs/>
                <w:i w:val="false"/>
                <w:iCs w:val="false"/>
                <w:color w:val="1C1F22"/>
                <w:sz w:val="16"/>
                <w:szCs w:val="16"/>
              </w:rPr>
              <w:t xml:space="preserve">Entries read as generated</w:t>
            </w:r>
          </w:p>
        </w:tc>
        <w:tc>
          <w:tcPr>
            <w:tcW w:type="dxa" w:w="6612"/>
            <w:tcBorders>
              <w:top w:val="none" w:color="FFFFFF" w:sz="0"/>
              <w:left w:val="none" w:color="FFFFFF" w:sz="0"/>
              <w:bottom w:val="none" w:color="FFFFFF" w:sz="0"/>
              <w:right w:val="none" w:color="FFFFFF" w:sz="0"/>
            </w:tcBorders>
            <w:tcMar>
              <w:top w:type="dxa" w:w="90"/>
              <w:left w:type="dxa" w:w="0"/>
              <w:bottom w:type="dxa" w:w="90"/>
              <w:right w:type="dxa" w:w="160"/>
            </w:tcMar>
          </w:tcPr>
          <w:p>
            <w:pPr>
              <w:spacing w:after="0" w:line="260"/>
            </w:pPr>
            <w:r>
              <w:rPr>
                <w:rFonts w:ascii="Montserrat" w:cs="Montserrat" w:eastAsia="Montserrat" w:hAnsi="Montserrat"/>
                <w:b w:val="false"/>
                <w:bCs w:val="false"/>
                <w:i w:val="false"/>
                <w:iCs w:val="false"/>
                <w:color w:val="3F464C"/>
                <w:sz w:val="16"/>
                <w:szCs w:val="16"/>
              </w:rPr>
              <w:t xml:space="preserve">Batching, review in Word, and the founder_take field carrying the voice.</w:t>
            </w:r>
          </w:p>
        </w:tc>
      </w:tr>
    </w:tbl>
    <w:p>
      <w:pPr>
        <w:spacing w:after="280"/>
      </w:pPr>
      <w:r>
        <w:rPr>
          <w:rFonts w:ascii="Montserrat" w:cs="Montserrat" w:eastAsia="Montserrat" w:hAnsi="Montserrat"/>
          <w:b w:val="false"/>
          <w:bCs w:val="false"/>
          <w:i w:val="false"/>
          <w:iCs w:val="false"/>
          <w:color w:val="3F464C"/>
          <w:sz w:val="18"/>
          <w:szCs w:val="18"/>
        </w:rPr>
        <w:t xml:space="preserve"/>
      </w:r>
    </w:p>
    <w:p>
      <w:pPr>
        <w:pBdr>
          <w:bottom w:val="single" w:color="D4D9DD" w:sz="6" w:space="6"/>
        </w:pBdr>
        <w:spacing w:after="120"/>
      </w:pPr>
      <w:r>
        <w:rPr>
          <w:rFonts w:ascii="Montserrat" w:cs="Montserrat" w:eastAsia="Montserrat" w:hAnsi="Montserrat"/>
          <w:b w:val="false"/>
          <w:bCs w:val="false"/>
          <w:i w:val="false"/>
          <w:iCs w:val="false"/>
          <w:color w:val="3F464C"/>
          <w:sz w:val="18"/>
          <w:szCs w:val="18"/>
        </w:rPr>
        <w:t xml:space="preserve"/>
      </w:r>
    </w:p>
    <w:p>
      <w:r>
        <w:rPr>
          <w:rFonts w:ascii="Montserrat" w:cs="Montserrat" w:eastAsia="Montserrat" w:hAnsi="Montserrat"/>
          <w:b w:val="false"/>
          <w:bCs w:val="false"/>
          <w:i w:val="false"/>
          <w:iCs w:val="false"/>
          <w:color w:val="A8AFB5"/>
          <w:sz w:val="15"/>
          <w:szCs w:val="15"/>
        </w:rPr>
        <w:t xml:space="preserve">Next step: settle the field list on a single drafted entry, then batch one of twenty-five.</w:t>
      </w:r>
    </w:p>
    <w:sectPr>
      <w:footerReference w:type="default" r:id="rId7"/>
      <w:pgSz w:w="11906" w:h="16838" w:orient="portrait"/>
      <w:pgMar w:top="1360"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9DD" w:sz="4" w:space="8"/>
      </w:pBdr>
      <w:tabs>
        <w:tab w:val="right" w:pos="9412"/>
      </w:tabs>
      <w:spacing w:before="100"/>
    </w:pPr>
    <w:r>
      <w:rPr>
        <w:rFonts w:ascii="Montserrat" w:cs="Montserrat" w:eastAsia="Montserrat" w:hAnsi="Montserrat"/>
        <w:b w:val="false"/>
        <w:bCs w:val="false"/>
        <w:i w:val="false"/>
        <w:iCs w:val="false"/>
        <w:color w:val="A8AFB5"/>
        <w:sz w:val="14"/>
        <w:szCs w:val="14"/>
      </w:rPr>
      <w:t xml:space="preserve">Apotheca®  |  Ingredient List Decoder, project brief</w:t>
    </w:r>
    <w:r>
      <w:rPr>
        <w:rFonts w:ascii="Montserrat" w:cs="Montserrat" w:eastAsia="Montserrat" w:hAnsi="Montserrat"/>
      </w:rPr>
      <w:t xml:space="preserve">	</w:t>
    </w:r>
    <w:r>
      <w:rPr>
        <w:rFonts w:ascii="Montserrat" w:cs="Montserrat" w:eastAsia="Montserrat" w:hAnsi="Montserrat"/>
        <w:color w:val="A8AFB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rFonts w:ascii="Montserrat" w:cs="Montserrat" w:eastAsia="Montserrat" w:hAnsi="Montserrat"/>
        <w:color w:val="A8AFB5"/>
      </w:rPr>
    </w:lvl>
  </w:abstractNum>
  <w:abstractNum w:abstractNumId="3" w15:restartNumberingAfterBreak="0">
    <w:multiLevelType w:val="hybridMultilevel"/>
    <w:lvl w:ilvl="0" w15:tentative="1">
      <w:start w:val="1"/>
      <w:numFmt w:val="decimal"/>
      <w:lvlText w:val="%1."/>
      <w:lvlJc w:val="left"/>
      <w:pPr>
        <w:ind w:left="320" w:hanging="260"/>
      </w:pPr>
      <w:rPr>
        <w:rFonts w:ascii="Montserrat" w:cs="Montserrat" w:eastAsia="Montserrat" w:hAnsi="Montserrat"/>
        <w:color w:val="6E767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2026-08-30T23:46:02.353Z</dcterms:created>
  <dcterms:modified xsi:type="dcterms:W3CDTF">2026-08-30T23:46:02.366Z</dcterms:modified>
</cp:coreProperties>
</file>

<file path=docProps/custom.xml><?xml version="1.0" encoding="utf-8"?>
<Properties xmlns="http://schemas.openxmlformats.org/officeDocument/2006/custom-properties" xmlns:vt="http://schemas.openxmlformats.org/officeDocument/2006/docPropsVTypes"/>
</file>