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05F73" w:val="clear"/>
            <w:tcMar>
              <w:top w:type="dxa" w:w="400"/>
              <w:left w:type="dxa" w:w="400"/>
              <w:bottom w:type="dxa" w:w="400"/>
              <w:right w:type="dxa" w:w="400"/>
            </w:tcMar>
          </w:tcPr>
          <w:p>
            <w:pPr>
              <w:spacing w:after="120"/>
              <w:jc w:val="center"/>
            </w:pPr>
            <w:r>
              <w:rPr>
                <w:rFonts w:ascii="Arial" w:cs="Arial" w:eastAsia="Arial" w:hAnsi="Arial"/>
                <w:b/>
                <w:bCs/>
                <w:color w:val="FFFFFF"/>
                <w:sz w:val="52"/>
                <w:szCs w:val="52"/>
              </w:rPr>
              <w:t xml:space="preserve">Neural ODE Surrogate for H₂/O₂ Ignition Kinetics</w:t>
            </w:r>
          </w:p>
          <w:p>
            <w:pPr>
              <w:spacing w:after="120"/>
              <w:jc w:val="center"/>
            </w:pPr>
            <w:r>
              <w:rPr>
                <w:rFonts w:ascii="Arial" w:cs="Arial" w:eastAsia="Arial" w:hAnsi="Arial"/>
                <w:i/>
                <w:iCs/>
                <w:color w:val="94D2BD"/>
                <w:sz w:val="28"/>
                <w:szCs w:val="28"/>
              </w:rPr>
              <w:t xml:space="preserve">Version 3  —  Parallel Training Pipeline</w:t>
            </w:r>
          </w:p>
          <w:p>
            <w:pPr>
              <w:jc w:val="center"/>
            </w:pPr>
            <w:r>
              <w:rPr>
                <w:rFonts w:ascii="Arial" w:cs="Arial" w:eastAsia="Arial" w:hAnsi="Arial"/>
                <w:color w:val="AADDDD"/>
                <w:sz w:val="22"/>
                <w:szCs w:val="22"/>
              </w:rPr>
              <w:t xml:space="preserve">SciML Curriculum  ·  Module 2: Neural ODEs for Chemical Kinetics</w:t>
            </w:r>
          </w:p>
        </w:tc>
      </w:tr>
    </w:tbl>
    <w:p>
      <w:pPr>
        <w:spacing w:after="80" w:before="80"/>
      </w:pPr>
      <w:r>
        <w:t xml:space="preserve"/>
      </w:r>
    </w:p>
    <w:p>
      <w:pPr>
        <w:pStyle w:val="Heading2"/>
        <w:pBdr>
          <w:bottom w:val="single" w:color="94D2BD" w:sz="4" w:space="4"/>
        </w:pBdr>
        <w:spacing w:after="120" w:before="320"/>
      </w:pPr>
      <w:r>
        <w:rPr>
          <w:rFonts w:ascii="Arial" w:cs="Arial" w:eastAsia="Arial" w:hAnsi="Arial"/>
          <w:b/>
          <w:bCs/>
          <w:color w:val="005F73"/>
          <w:sz w:val="28"/>
          <w:szCs w:val="28"/>
        </w:rPr>
        <w:t xml:space="preserve">Quick Reference: What Does Each Section 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Parallelism Strategy</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0. Global config</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Set device, seeds, species constants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None (startup)</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1. Data generation</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Run Cantera ODEs for 200 T₀ conditions</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multiprocessing.Pool (all CPU cores)</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2. Normalizer</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Min-max scale each species independently</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Fit once on train split</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3. Build model</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ResNet ODE func + surrogate wrapper</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nn.DataParallel (multi-GPU)</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4. DataLoaders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Batch trajectories for training</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num_workers + pin_memory + non_blocking</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5. Training loop</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Minimise weighted MSE over 500 epochs</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AMP (FP16) + torch.compile</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6. Plots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Loss, stiffness ratio, OH profiles, species grid</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Batch GPU inference</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7. CSV export</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Write all predictions to disk</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Batch inference (64 samples/call)</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8. Benchmark</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Compare NODE vs Cantera wall-clock time</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Serial + batch timing</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9. Checkpoint</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Save model weights + normaliser stats</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Single file save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005F73"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0</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Global Configuration</w:t>
            </w:r>
          </w:p>
          <w:p>
            <w:r>
              <w:rPr>
                <w:rFonts w:ascii="Arial" w:cs="Arial" w:eastAsia="Arial" w:hAnsi="Arial"/>
                <w:i/>
                <w:iCs/>
                <w:color w:val="666666"/>
                <w:sz w:val="19"/>
                <w:szCs w:val="19"/>
              </w:rPr>
              <w:t xml:space="preserve">python lines 1–60  ·  no compute, no I/O</w:t>
            </w:r>
          </w:p>
        </w:tc>
      </w:tr>
    </w:tbl>
    <w:p>
      <w:pPr>
        <w:spacing w:after="80" w:before="80"/>
      </w:pPr>
      <w:r>
        <w:t xml:space="preserve"/>
      </w:r>
    </w:p>
    <w:p>
      <w:pPr>
        <w:spacing w:after="60" w:before="60"/>
        <w:jc w:val="both"/>
      </w:pPr>
      <w:r>
        <w:rPr>
          <w:rFonts w:ascii="Arial" w:cs="Arial" w:eastAsia="Arial" w:hAnsi="Arial"/>
          <w:color w:val="2C3E50"/>
          <w:sz w:val="22"/>
          <w:szCs w:val="22"/>
        </w:rPr>
        <w:t xml:space="preserve">Every run begins with a set of constants and hardware detections that everything else depends on. There are three groups of declarations:</w:t>
      </w:r>
    </w:p>
    <w:p>
      <w:pPr>
        <w:spacing w:after="80" w:before="80"/>
      </w:pPr>
      <w:r>
        <w:t xml:space="preserve"/>
      </w:r>
    </w:p>
    <w:p>
      <w:pPr>
        <w:pStyle w:val="Heading3"/>
        <w:spacing w:after="80" w:before="200"/>
      </w:pPr>
      <w:r>
        <w:rPr>
          <w:rFonts w:ascii="Arial" w:cs="Arial" w:eastAsia="Arial" w:hAnsi="Arial"/>
          <w:b/>
          <w:bCs/>
          <w:color w:val="0A9396"/>
          <w:sz w:val="24"/>
          <w:szCs w:val="24"/>
        </w:rPr>
        <w:t xml:space="preserve">Hardware detection</w:t>
      </w:r>
    </w:p>
    <w:p>
      <w:pPr>
        <w:shd w:fill="F8F0EE" w:val="clear"/>
        <w:spacing w:after="30" w:before="30"/>
        <w:ind w:left="440"/>
      </w:pPr>
      <w:r>
        <w:rPr>
          <w:rFonts w:ascii="Courier New" w:cs="Courier New" w:eastAsia="Courier New" w:hAnsi="Courier New"/>
          <w:color w:val="CA6702"/>
          <w:sz w:val="18"/>
          <w:szCs w:val="18"/>
        </w:rPr>
        <w:t xml:space="preserve">DEVICE  = torch.device('cuda' if torch.cuda.is_available() else 'cpu')</w:t>
      </w:r>
    </w:p>
    <w:p>
      <w:pPr>
        <w:shd w:fill="F8F0EE" w:val="clear"/>
        <w:spacing w:after="30" w:before="30"/>
        <w:ind w:left="440"/>
      </w:pPr>
      <w:r>
        <w:rPr>
          <w:rFonts w:ascii="Courier New" w:cs="Courier New" w:eastAsia="Courier New" w:hAnsi="Courier New"/>
          <w:color w:val="CA6702"/>
          <w:sz w:val="18"/>
          <w:szCs w:val="18"/>
        </w:rPr>
        <w:t xml:space="preserve">N_GPUS  = torch.cuda.device_count()</w:t>
      </w:r>
    </w:p>
    <w:p>
      <w:pPr>
        <w:shd w:fill="F8F0EE" w:val="clear"/>
        <w:spacing w:after="30" w:before="30"/>
        <w:ind w:left="440"/>
      </w:pPr>
      <w:r>
        <w:rPr>
          <w:rFonts w:ascii="Courier New" w:cs="Courier New" w:eastAsia="Courier New" w:hAnsi="Courier New"/>
          <w:color w:val="CA6702"/>
          <w:sz w:val="18"/>
          <w:szCs w:val="18"/>
        </w:rPr>
        <w:t xml:space="preserve">USE_AMP = torch.cuda.is_available()</w:t>
      </w:r>
    </w:p>
    <w:p>
      <w:pPr>
        <w:spacing w:after="60" w:before="60"/>
        <w:jc w:val="both"/>
      </w:pPr>
      <w:r>
        <w:rPr>
          <w:rFonts w:ascii="Arial" w:cs="Arial" w:eastAsia="Arial" w:hAnsi="Arial"/>
          <w:color w:val="2C3E50"/>
          <w:sz w:val="22"/>
          <w:szCs w:val="22"/>
        </w:rPr>
        <w:t xml:space="preserve">These three flags control the entire parallelism strategy downstream. If DEVICE is cpu, AMP becomes a no-op and DataParallel wraps nothing. The code is branch-free — the same path runs on a laptop CPU and a 4-GPU workstation.</w:t>
      </w:r>
    </w:p>
    <w:p>
      <w:pPr>
        <w:spacing w:after="80" w:before="80"/>
      </w:pPr>
      <w:r>
        <w:t xml:space="preserve"/>
      </w:r>
    </w:p>
    <w:p>
      <w:pPr>
        <w:pStyle w:val="Heading3"/>
        <w:spacing w:after="80" w:before="200"/>
      </w:pPr>
      <w:r>
        <w:rPr>
          <w:rFonts w:ascii="Arial" w:cs="Arial" w:eastAsia="Arial" w:hAnsi="Arial"/>
          <w:b/>
          <w:bCs/>
          <w:color w:val="0A9396"/>
          <w:sz w:val="24"/>
          <w:szCs w:val="24"/>
        </w:rPr>
        <w:t xml:space="preserve">Species metadata</w:t>
      </w:r>
    </w:p>
    <w:p>
      <w:pPr>
        <w:spacing w:after="60" w:before="60"/>
        <w:jc w:val="both"/>
      </w:pPr>
      <w:r>
        <w:rPr>
          <w:rFonts w:ascii="Arial" w:cs="Arial" w:eastAsia="Arial" w:hAnsi="Arial"/>
          <w:color w:val="2C3E50"/>
          <w:sz w:val="22"/>
          <w:szCs w:val="22"/>
        </w:rPr>
        <w:t xml:space="preserve">SPECIES_NAMES declares the 10-species ordering from h2o2.yaml. This ordering is fixed by Cantera and must match the trajectory arrays exactly. OH_IDX and RADICAL_INDICES are looked up once here so they never appear as magic numbers inside the training loop.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94D2BD" w:sz="1"/>
              <w:left w:val="single" w:color="94D2BD" w:sz="1"/>
              <w:bottom w:val="single" w:color="94D2BD" w:sz="1"/>
              <w:right w:val="single" w:color="94D2BD" w:sz="1"/>
            </w:tcBorders>
            <w:shd w:fill="EEF4F5" w:val="clear"/>
            <w:tcMar>
              <w:top w:type="dxa" w:w="80"/>
              <w:left w:type="dxa" w:w="160"/>
              <w:bottom w:type="dxa" w:w="80"/>
              <w:right w:type="dxa" w:w="120"/>
            </w:tcMar>
          </w:tcPr>
          <w:p>
            <w:r>
              <w:rPr>
                <w:rFonts w:ascii="Arial" w:cs="Arial" w:eastAsia="Arial" w:hAnsi="Arial"/>
                <w:color w:val="2C3E50"/>
                <w:sz w:val="21"/>
                <w:szCs w:val="21"/>
              </w:rPr>
              <w:t xml:space="preserve">Hard-coding species positions (e.g. OH is column 4) would silently break if the Cantera mechanism file changes. Declaring them by name and looking up the index makes the code mechanism-agnostic.</w:t>
            </w:r>
          </w:p>
        </w:tc>
      </w:tr>
    </w:tbl>
    <w:p>
      <w:pPr>
        <w:spacing w:after="80" w:before="80"/>
      </w:pPr>
      <w:r>
        <w:t xml:space="preserve"/>
      </w:r>
    </w:p>
    <w:p>
      <w:pPr>
        <w:pStyle w:val="Heading3"/>
        <w:spacing w:after="80" w:before="200"/>
      </w:pPr>
      <w:r>
        <w:rPr>
          <w:rFonts w:ascii="Arial" w:cs="Arial" w:eastAsia="Arial" w:hAnsi="Arial"/>
          <w:b/>
          <w:bCs/>
          <w:color w:val="0A9396"/>
          <w:sz w:val="24"/>
          <w:szCs w:val="24"/>
        </w:rPr>
        <w:t xml:space="preserve">Radical weighting constant</w:t>
      </w:r>
    </w:p>
    <w:p>
      <w:pPr>
        <w:shd w:fill="F8F0EE" w:val="clear"/>
        <w:spacing w:after="30" w:before="30"/>
        <w:ind w:left="440"/>
      </w:pPr>
      <w:r>
        <w:rPr>
          <w:rFonts w:ascii="Courier New" w:cs="Courier New" w:eastAsia="Courier New" w:hAnsi="Courier New"/>
          <w:color w:val="CA6702"/>
          <w:sz w:val="18"/>
          <w:szCs w:val="18"/>
        </w:rPr>
        <w:t xml:space="preserve">RADICAL_WEIGHT = 30.0</w:t>
      </w:r>
    </w:p>
    <w:p>
      <w:pPr>
        <w:spacing w:after="60" w:before="60"/>
        <w:jc w:val="both"/>
      </w:pPr>
      <w:r>
        <w:rPr>
          <w:rFonts w:ascii="Arial" w:cs="Arial" w:eastAsia="Arial" w:hAnsi="Arial"/>
          <w:color w:val="2C3E50"/>
          <w:sz w:val="22"/>
          <w:szCs w:val="22"/>
        </w:rPr>
        <w:t xml:space="preserve">This single number controls how strongly the loss function penalises errors in radical species (OH, H, O, HO2, H2O2) relative to stable species (H2, H2O, AR). It is defined here so it can be tuned without touching the training loop.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0A939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Parallel Data Generation</w:t>
            </w:r>
          </w:p>
          <w:p>
            <w:r>
              <w:rPr>
                <w:rFonts w:ascii="Arial" w:cs="Arial" w:eastAsia="Arial" w:hAnsi="Arial"/>
                <w:i/>
                <w:iCs/>
                <w:color w:val="666666"/>
                <w:sz w:val="19"/>
                <w:szCs w:val="19"/>
              </w:rPr>
              <w:t xml:space="preserve">function: generate_ignition_data_parallel  ·  uses multiprocessing.Pool</w:t>
            </w:r>
          </w:p>
        </w:tc>
      </w:tr>
    </w:tbl>
    <w:p>
      <w:pPr>
        <w:spacing w:after="80" w:before="80"/>
      </w:pPr>
      <w:r>
        <w:t xml:space="preserve"/>
      </w:r>
    </w:p>
    <w:p>
      <w:pPr>
        <w:spacing w:after="60" w:before="60"/>
        <w:jc w:val="both"/>
      </w:pPr>
      <w:r>
        <w:rPr>
          <w:rFonts w:ascii="Arial" w:cs="Arial" w:eastAsia="Arial" w:hAnsi="Arial"/>
          <w:color w:val="2C3E50"/>
          <w:sz w:val="22"/>
          <w:szCs w:val="22"/>
        </w:rPr>
        <w:t xml:space="preserve">This is the most computationally expensive one-time step. Cantera's LSODA integrator is called 200 times — once per initial temperature T₀ — and each call is completely independent of the others. This is the textbook definition of an embarrassingly parallel problem.</w:t>
      </w:r>
    </w:p>
    <w:p>
      <w:pPr>
        <w:spacing w:after="80" w:before="80"/>
      </w:pPr>
      <w:r>
        <w:t xml:space="preserve"/>
      </w:r>
    </w:p>
    <w:p>
      <w:pPr>
        <w:pStyle w:val="Heading3"/>
        <w:spacing w:after="80" w:before="200"/>
      </w:pPr>
      <w:r>
        <w:rPr>
          <w:rFonts w:ascii="Arial" w:cs="Arial" w:eastAsia="Arial" w:hAnsi="Arial"/>
          <w:b/>
          <w:bCs/>
          <w:color w:val="0A9396"/>
          <w:sz w:val="24"/>
          <w:szCs w:val="24"/>
        </w:rPr>
        <w:t xml:space="preserve">Why multiprocessing and not threading?</w:t>
      </w:r>
    </w:p>
    <w:p>
      <w:pPr>
        <w:spacing w:after="60" w:before="60"/>
        <w:jc w:val="both"/>
      </w:pPr>
      <w:r>
        <w:rPr>
          <w:rFonts w:ascii="Arial" w:cs="Arial" w:eastAsia="Arial" w:hAnsi="Arial"/>
          <w:color w:val="2C3E50"/>
          <w:sz w:val="22"/>
          <w:szCs w:val="22"/>
        </w:rPr>
        <w:t xml:space="preserve">Python's Global Interpreter Lock (GIL) prevents CPU-bound threads from running simultaneously. Cantera's ODE solver is a CPU-bound C++ extension that releases the GIL, but the Python overhead around it does not. multiprocessing.Pool spawns separate processes with separate memory spaces, completely bypassing the GIL. Each worker imports its own Cantera instance.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RULE</w:t>
            </w:r>
          </w:p>
        </w:tc>
        <w:tc>
          <w:tcPr>
            <w:tcW w:type="dxa" w:w="8160"/>
            <w:tcBorders>
              <w:top w:val="single" w:color="94D2BD" w:sz="1"/>
              <w:left w:val="single" w:color="94D2BD" w:sz="1"/>
              <w:bottom w:val="single" w:color="94D2BD" w:sz="1"/>
              <w:right w:val="single" w:color="94D2BD" w:sz="1"/>
            </w:tcBorders>
            <w:shd w:fill="EEF4F5" w:val="clear"/>
            <w:tcMar>
              <w:top w:type="dxa" w:w="80"/>
              <w:left w:type="dxa" w:w="160"/>
              <w:bottom w:type="dxa" w:w="80"/>
              <w:right w:type="dxa" w:w="120"/>
            </w:tcMar>
          </w:tcPr>
          <w:p>
            <w:r>
              <w:rPr>
                <w:rFonts w:ascii="Arial" w:cs="Arial" w:eastAsia="Arial" w:hAnsi="Arial"/>
                <w:color w:val="2C3E50"/>
                <w:sz w:val="21"/>
                <w:szCs w:val="21"/>
              </w:rPr>
              <w:t xml:space="preserve">The worker function _simulate_one must be defined at module level (not as a lambda or nested function). Python's multiprocessing uses pickle to serialise function objects and ship them to worker processes — closures and lambdas are not picklable.</w:t>
            </w:r>
          </w:p>
        </w:tc>
      </w:tr>
    </w:tbl>
    <w:p>
      <w:pPr>
        <w:spacing w:after="80" w:before="80"/>
      </w:pPr>
      <w:r>
        <w:t xml:space="preserve"/>
      </w:r>
    </w:p>
    <w:p>
      <w:pPr>
        <w:pStyle w:val="Heading3"/>
        <w:spacing w:after="80" w:before="200"/>
      </w:pPr>
      <w:r>
        <w:rPr>
          <w:rFonts w:ascii="Arial" w:cs="Arial" w:eastAsia="Arial" w:hAnsi="Arial"/>
          <w:b/>
          <w:bCs/>
          <w:color w:val="0A9396"/>
          <w:sz w:val="24"/>
          <w:szCs w:val="24"/>
        </w:rPr>
        <w:t xml:space="preserve">What each worker does</w:t>
      </w:r>
    </w:p>
    <w:p>
      <w:pPr>
        <w:pStyle w:val="ListParagraph"/>
        <w:numPr>
          <w:ilvl w:val="0"/>
          <w:numId w:val="2"/>
        </w:numPr>
        <w:spacing w:after="40" w:before="40"/>
      </w:pPr>
      <w:r>
        <w:rPr>
          <w:rFonts w:ascii="Arial" w:cs="Arial" w:eastAsia="Arial" w:hAnsi="Arial"/>
          <w:color w:val="2C3E50"/>
          <w:sz w:val="22"/>
          <w:szCs w:val="22"/>
        </w:rPr>
        <w:t xml:space="preserve">Receives a single T₀ value and integration parameters.</w:t>
      </w:r>
    </w:p>
    <w:p>
      <w:pPr>
        <w:pStyle w:val="ListParagraph"/>
        <w:numPr>
          <w:ilvl w:val="0"/>
          <w:numId w:val="2"/>
        </w:numPr>
        <w:spacing w:after="40" w:before="40"/>
      </w:pPr>
      <w:r>
        <w:rPr>
          <w:rFonts w:ascii="Arial" w:cs="Arial" w:eastAsia="Arial" w:hAnsi="Arial"/>
          <w:color w:val="2C3E50"/>
          <w:sz w:val="22"/>
          <w:szCs w:val="22"/>
        </w:rPr>
        <w:t xml:space="preserve">Creates a Cantera IdealGasConstPressureReactor (constant pressure — physically correct for atmospheric ignition).</w:t>
      </w:r>
    </w:p>
    <w:p>
      <w:pPr>
        <w:pStyle w:val="ListParagraph"/>
        <w:numPr>
          <w:ilvl w:val="0"/>
          <w:numId w:val="2"/>
        </w:numPr>
        <w:spacing w:after="40" w:before="40"/>
      </w:pPr>
      <w:r>
        <w:rPr>
          <w:rFonts w:ascii="Arial" w:cs="Arial" w:eastAsia="Arial" w:hAnsi="Arial"/>
          <w:color w:val="2C3E50"/>
          <w:sz w:val="22"/>
          <w:szCs w:val="22"/>
        </w:rPr>
        <w:t xml:space="preserve">Advances the simulation through 500 equally-spaced time points over 2 ms.</w:t>
      </w:r>
    </w:p>
    <w:p>
      <w:pPr>
        <w:pStyle w:val="ListParagraph"/>
        <w:numPr>
          <w:ilvl w:val="0"/>
          <w:numId w:val="2"/>
        </w:numPr>
        <w:spacing w:after="40" w:before="40"/>
      </w:pPr>
      <w:r>
        <w:rPr>
          <w:rFonts w:ascii="Arial" w:cs="Arial" w:eastAsia="Arial" w:hAnsi="Arial"/>
          <w:color w:val="2C3E50"/>
          <w:sz w:val="22"/>
          <w:szCs w:val="22"/>
        </w:rPr>
        <w:t xml:space="preserve">Returns a (500, 11) numpy array: 10 species mole fractions + T/3000.</w:t>
      </w:r>
    </w:p>
    <w:p>
      <w:pPr>
        <w:pStyle w:val="ListParagraph"/>
        <w:numPr>
          <w:ilvl w:val="0"/>
          <w:numId w:val="2"/>
        </w:numPr>
        <w:spacing w:after="40" w:before="40"/>
      </w:pPr>
      <w:r>
        <w:rPr>
          <w:rFonts w:ascii="Arial" w:cs="Arial" w:eastAsia="Arial" w:hAnsi="Arial"/>
          <w:color w:val="2C3E50"/>
          <w:sz w:val="22"/>
          <w:szCs w:val="22"/>
        </w:rPr>
        <w:t xml:space="preserve">If the integrator fails at any step, it repeats the last successful state rather than crashing.</w:t>
      </w:r>
    </w:p>
    <w:p>
      <w:pPr>
        <w:spacing w:after="80" w:before="80"/>
      </w:pPr>
      <w:r>
        <w:t xml:space="preserve"/>
      </w:r>
    </w:p>
    <w:p>
      <w:pPr>
        <w:pStyle w:val="Heading3"/>
        <w:spacing w:after="80" w:before="200"/>
      </w:pPr>
      <w:r>
        <w:rPr>
          <w:rFonts w:ascii="Arial" w:cs="Arial" w:eastAsia="Arial" w:hAnsi="Arial"/>
          <w:b/>
          <w:bCs/>
          <w:color w:val="0A9396"/>
          <w:sz w:val="24"/>
          <w:szCs w:val="24"/>
        </w:rPr>
        <w:t xml:space="preserve">Output format</w:t>
      </w:r>
    </w:p>
    <w:p>
      <w:pPr>
        <w:spacing w:after="60" w:before="60"/>
        <w:jc w:val="both"/>
      </w:pPr>
      <w:r>
        <w:rPr>
          <w:rFonts w:ascii="Arial" w:cs="Arial" w:eastAsia="Arial" w:hAnsi="Arial"/>
          <w:color w:val="2C3E50"/>
          <w:sz w:val="22"/>
          <w:szCs w:val="22"/>
        </w:rPr>
        <w:t xml:space="preserve">The 200 worker results are stacked into a (200, 500, 11) array and saved as an .npy file. On subsequent runs the cached file is loaded directly, so data generation only runs once even across multiple training experiments.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Axis 0</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200</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Independent ignition trajectories (T₀ = 900 to 1500 K)</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Axis 1</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500</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Time points (0 to 2 ms, equally spaced)</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Axis 2</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11</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State: H2, H, O, O2, OH, H2O, HO2, H2O2, AR, N2, T/3000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0A939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Species Normalizer</w:t>
            </w:r>
          </w:p>
          <w:p>
            <w:r>
              <w:rPr>
                <w:rFonts w:ascii="Arial" w:cs="Arial" w:eastAsia="Arial" w:hAnsi="Arial"/>
                <w:i/>
                <w:iCs/>
                <w:color w:val="666666"/>
                <w:sz w:val="19"/>
                <w:szCs w:val="19"/>
              </w:rPr>
              <w:t xml:space="preserve">class: SpeciesNormalizer  ·  the single most important fix over v1</w:t>
            </w:r>
          </w:p>
        </w:tc>
      </w:tr>
    </w:tbl>
    <w:p>
      <w:pPr>
        <w:spacing w:after="80" w:before="80"/>
      </w:pPr>
      <w:r>
        <w:t xml:space="preserve"/>
      </w:r>
    </w:p>
    <w:p>
      <w:pPr>
        <w:spacing w:after="60" w:before="60"/>
        <w:jc w:val="both"/>
      </w:pPr>
      <w:r>
        <w:rPr>
          <w:rFonts w:ascii="Arial" w:cs="Arial" w:eastAsia="Arial" w:hAnsi="Arial"/>
          <w:color w:val="2C3E50"/>
          <w:sz w:val="22"/>
          <w:szCs w:val="22"/>
        </w:rPr>
        <w:t xml:space="preserve">This is the fix that makes the OH radical visible to the optimizer. In version 1, all species contributed equally to the MSE loss in physical units. H2O has peak mole fraction ≈0.35, OH has peak ≈0.003 — the MSE gradient from OH was 14,000× smaller than from H2O. The network learned to perfectly fit H2O while producing garbage for OH.</w:t>
      </w:r>
    </w:p>
    <w:p>
      <w:pPr>
        <w:spacing w:after="80" w:before="80"/>
      </w:pPr>
      <w:r>
        <w:t xml:space="preserve"/>
      </w:r>
    </w:p>
    <w:p>
      <w:pPr>
        <w:pStyle w:val="Heading3"/>
        <w:spacing w:after="80" w:before="200"/>
      </w:pPr>
      <w:r>
        <w:rPr>
          <w:rFonts w:ascii="Arial" w:cs="Arial" w:eastAsia="Arial" w:hAnsi="Arial"/>
          <w:b/>
          <w:bCs/>
          <w:color w:val="0A9396"/>
          <w:sz w:val="24"/>
          <w:szCs w:val="24"/>
        </w:rPr>
        <w:t xml:space="preserve">The normalisation formula</w:t>
      </w:r>
    </w:p>
    <w:p>
      <w:pPr>
        <w:spacing w:after="60" w:before="60"/>
        <w:jc w:val="both"/>
      </w:pPr>
      <w:r>
        <w:rPr>
          <w:rFonts w:ascii="Arial" w:cs="Arial" w:eastAsia="Arial" w:hAnsi="Arial"/>
          <w:color w:val="2C3E50"/>
          <w:sz w:val="22"/>
          <w:szCs w:val="22"/>
        </w:rPr>
        <w:t xml:space="preserve">For each species i independently:</w:t>
      </w:r>
    </w:p>
    <w:p>
      <w:pPr>
        <w:shd w:fill="F8F0EE" w:val="clear"/>
        <w:spacing w:after="30" w:before="30"/>
        <w:ind w:left="440"/>
      </w:pPr>
      <w:r>
        <w:rPr>
          <w:rFonts w:ascii="Courier New" w:cs="Courier New" w:eastAsia="Courier New" w:hAnsi="Courier New"/>
          <w:color w:val="CA6702"/>
          <w:sz w:val="18"/>
          <w:szCs w:val="18"/>
        </w:rPr>
        <w:t xml:space="preserve">y_norm[i] = (y[i] - y_min[i]) / (y_max[i] - y_min[i] + ε)</w:t>
      </w:r>
    </w:p>
    <w:p>
      <w:pPr>
        <w:spacing w:after="60" w:before="60"/>
        <w:jc w:val="both"/>
      </w:pPr>
      <w:r>
        <w:rPr>
          <w:rFonts w:ascii="Arial" w:cs="Arial" w:eastAsia="Arial" w:hAnsi="Arial"/>
          <w:color w:val="2C3E50"/>
          <w:sz w:val="22"/>
          <w:szCs w:val="22"/>
        </w:rPr>
        <w:t xml:space="preserve">After normalisation, every species ranges from 0 to 1 regardless of its physical magnitude. The MSE loss computed in this normalised space treats OH and H2O equally.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8160"/>
            <w:tcBorders>
              <w:top w:val="single" w:color="94D2BD" w:sz="1"/>
              <w:left w:val="single" w:color="94D2BD" w:sz="1"/>
              <w:bottom w:val="single" w:color="94D2BD" w:sz="1"/>
              <w:right w:val="single" w:color="94D2BD" w:sz="1"/>
            </w:tcBorders>
            <w:shd w:fill="EEF4F5" w:val="clear"/>
            <w:tcMar>
              <w:top w:type="dxa" w:w="80"/>
              <w:left w:type="dxa" w:w="160"/>
              <w:bottom w:type="dxa" w:w="80"/>
              <w:right w:type="dxa" w:w="120"/>
            </w:tcMar>
          </w:tcPr>
          <w:p>
            <w:r>
              <w:rPr>
                <w:rFonts w:ascii="Arial" w:cs="Arial" w:eastAsia="Arial" w:hAnsi="Arial"/>
                <w:color w:val="2C3E50"/>
                <w:sz w:val="21"/>
                <w:szCs w:val="21"/>
              </w:rPr>
              <w:t xml:space="preserve">The normaliser is fitted only on the training split (first 80% of trajectories). Fitting on the full dataset would leak information from validation samples into the normalisation statistics — a subtle form of data leakage that inflates validation metrics.</w:t>
            </w:r>
          </w:p>
        </w:tc>
      </w:tr>
    </w:tbl>
    <w:p>
      <w:pPr>
        <w:spacing w:after="80" w:before="80"/>
      </w:pPr>
      <w:r>
        <w:t xml:space="preserve"/>
      </w:r>
    </w:p>
    <w:p>
      <w:pPr>
        <w:pStyle w:val="Heading3"/>
        <w:spacing w:after="80" w:before="200"/>
      </w:pPr>
      <w:r>
        <w:rPr>
          <w:rFonts w:ascii="Arial" w:cs="Arial" w:eastAsia="Arial" w:hAnsi="Arial"/>
          <w:b/>
          <w:bCs/>
          <w:color w:val="0A9396"/>
          <w:sz w:val="24"/>
          <w:szCs w:val="24"/>
        </w:rPr>
        <w:t xml:space="preserve">Where normalisation is applied</w:t>
      </w:r>
    </w:p>
    <w:p>
      <w:pPr>
        <w:spacing w:after="60" w:before="60"/>
        <w:jc w:val="both"/>
      </w:pPr>
      <w:r>
        <w:rPr>
          <w:rFonts w:ascii="Arial" w:cs="Arial" w:eastAsia="Arial" w:hAnsi="Arial"/>
          <w:color w:val="2C3E50"/>
          <w:sz w:val="22"/>
          <w:szCs w:val="22"/>
        </w:rPr>
        <w:t xml:space="preserve">The NeuralODESurrogate.forward() method normalises the initial condition before passing it to odeint, then denormalises the entire output trajectory before returning. The neural network (ChemistryODEFunc) therefore operates entirely in normalised space — it learns smooth, bounded dynamics in [0,1]¹¹ rather than the jagged multi-scale dynamics of the physical state.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7B2D8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Model Architecture</w:t>
            </w:r>
          </w:p>
          <w:p>
            <w:r>
              <w:rPr>
                <w:rFonts w:ascii="Arial" w:cs="Arial" w:eastAsia="Arial" w:hAnsi="Arial"/>
                <w:i/>
                <w:iCs/>
                <w:color w:val="666666"/>
                <w:sz w:val="19"/>
                <w:szCs w:val="19"/>
              </w:rPr>
              <w:t xml:space="preserve">classes: ChemistryODEFunc, NeuralODESurrogate  ·  ResNet-style, SiLU activations</w:t>
            </w:r>
          </w:p>
        </w:tc>
      </w:tr>
    </w:tbl>
    <w:p>
      <w:pPr>
        <w:spacing w:after="80" w:before="80"/>
      </w:pPr>
      <w:r>
        <w:t xml:space="preserve"/>
      </w:r>
    </w:p>
    <w:p>
      <w:pPr>
        <w:pStyle w:val="Heading3"/>
        <w:spacing w:after="80" w:before="200"/>
      </w:pPr>
      <w:r>
        <w:rPr>
          <w:rFonts w:ascii="Arial" w:cs="Arial" w:eastAsia="Arial" w:hAnsi="Arial"/>
          <w:b/>
          <w:bCs/>
          <w:color w:val="0A9396"/>
          <w:sz w:val="24"/>
          <w:szCs w:val="24"/>
        </w:rPr>
        <w:t xml:space="preserve">ChemistryODEFunc — the ODE right-hand side</w:t>
      </w:r>
    </w:p>
    <w:p>
      <w:pPr>
        <w:spacing w:after="60" w:before="60"/>
        <w:jc w:val="both"/>
      </w:pPr>
      <w:r>
        <w:rPr>
          <w:rFonts w:ascii="Arial" w:cs="Arial" w:eastAsia="Arial" w:hAnsi="Arial"/>
          <w:color w:val="2C3E50"/>
          <w:sz w:val="22"/>
          <w:szCs w:val="22"/>
        </w:rPr>
        <w:t xml:space="preserve">This network parameterises the function fθ such that dy_norm/dt = fθ(y_norm). It is a 5-layer residual network operating in the 11-dimensional normalised state space.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choice</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matters</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SiLU activations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Smooth gating function: x × sigmoid(x)</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Non-saturating; better gradient flow than Tanh</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Residual connections</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h ← σ(h + block(h)) every 2 layers</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Prevents vanishing gradients; stable adjoint</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Xavier init (gain=0.1)</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Small initial weights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Near-zero initial velocity; stable ODE start</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hidden_dim = 256</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4× larger than v1 (128)</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More capacity to capture sharp ignition events</w:t>
            </w:r>
          </w:p>
        </w:tc>
      </w:tr>
    </w:tbl>
    <w:p>
      <w:pPr>
        <w:spacing w:after="80" w:before="80"/>
      </w:pPr>
      <w:r>
        <w:t xml:space="preserve"/>
      </w:r>
    </w:p>
    <w:p>
      <w:pPr>
        <w:pStyle w:val="Heading3"/>
        <w:spacing w:after="80" w:before="200"/>
      </w:pPr>
      <w:r>
        <w:rPr>
          <w:rFonts w:ascii="Arial" w:cs="Arial" w:eastAsia="Arial" w:hAnsi="Arial"/>
          <w:b/>
          <w:bCs/>
          <w:color w:val="0A9396"/>
          <w:sz w:val="24"/>
          <w:szCs w:val="24"/>
        </w:rPr>
        <w:t xml:space="preserve">NeuralODESurrogate — the full inference pipeline</w:t>
      </w:r>
    </w:p>
    <w:p>
      <w:pPr>
        <w:spacing w:after="60" w:before="60"/>
        <w:jc w:val="both"/>
      </w:pPr>
      <w:r>
        <w:rPr>
          <w:rFonts w:ascii="Arial" w:cs="Arial" w:eastAsia="Arial" w:hAnsi="Arial"/>
          <w:color w:val="2C3E50"/>
          <w:sz w:val="22"/>
          <w:szCs w:val="22"/>
        </w:rPr>
        <w:t xml:space="preserve">This wrapper handles three steps: (1) normalise y0 via SpeciesNormalizer, (2) call odeint_adjoint with ChemistryODEFunc, (3) denormalise the output trajectory. The surrogate's forward() accepts raw physical-space inputs and returns raw physical-space outputs, hiding the normalisation from the training loop.</w:t>
      </w:r>
    </w:p>
    <w:p>
      <w:pPr>
        <w:spacing w:after="80" w:before="80"/>
      </w:pPr>
      <w:r>
        <w:t xml:space="preserve"/>
      </w:r>
    </w:p>
    <w:p>
      <w:pPr>
        <w:pStyle w:val="Heading3"/>
        <w:spacing w:after="80" w:before="200"/>
      </w:pPr>
      <w:r>
        <w:rPr>
          <w:rFonts w:ascii="Arial" w:cs="Arial" w:eastAsia="Arial" w:hAnsi="Arial"/>
          <w:b/>
          <w:bCs/>
          <w:color w:val="0A9396"/>
          <w:sz w:val="24"/>
          <w:szCs w:val="24"/>
        </w:rPr>
        <w:t xml:space="preserve">Multi-GPU wrapping</w:t>
      </w:r>
    </w:p>
    <w:p>
      <w:pPr>
        <w:spacing w:after="60" w:before="60"/>
        <w:jc w:val="both"/>
      </w:pPr>
      <w:r>
        <w:rPr>
          <w:rFonts w:ascii="Arial" w:cs="Arial" w:eastAsia="Arial" w:hAnsi="Arial"/>
          <w:color w:val="2C3E50"/>
          <w:sz w:val="22"/>
          <w:szCs w:val="22"/>
        </w:rPr>
        <w:t xml:space="preserve">If more than one GPU is detected, the inner ChemistryODEFunc is wrapped with nn.DataParallel. DataParallel splits each batch across GPUs, runs forward and backward in parallel, then gathers and averages gradients on GPU 0. The odeint_adjoint call inside each GPU's replica runs independently, which is what makes this compatible with Neural ODEs.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c>
          <w:tcPr>
            <w:tcW w:type="dxa" w:w="8160"/>
            <w:tcBorders>
              <w:top w:val="single" w:color="94D2BD" w:sz="1"/>
              <w:left w:val="single" w:color="94D2BD" w:sz="1"/>
              <w:bottom w:val="single" w:color="94D2BD" w:sz="1"/>
              <w:right w:val="single" w:color="94D2BD" w:sz="1"/>
            </w:tcBorders>
            <w:shd w:fill="EEF4F5" w:val="clear"/>
            <w:tcMar>
              <w:top w:type="dxa" w:w="80"/>
              <w:left w:type="dxa" w:w="160"/>
              <w:bottom w:type="dxa" w:w="80"/>
              <w:right w:type="dxa" w:w="120"/>
            </w:tcMar>
          </w:tcPr>
          <w:p>
            <w:r>
              <w:rPr>
                <w:rFonts w:ascii="Arial" w:cs="Arial" w:eastAsia="Arial" w:hAnsi="Arial"/>
                <w:color w:val="2C3E50"/>
                <w:sz w:val="21"/>
                <w:szCs w:val="21"/>
              </w:rPr>
              <w:t xml:space="preserve">nn.DataParallel concentrates gradient aggregation on GPU 0, creating a memory bottleneck at large scale. For 4+ GPUs across multiple nodes, use torchrun with DistributedDataParallel — the commented code at the bottom of the file shows how.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0A939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Parallel DataLoaders</w:t>
            </w:r>
          </w:p>
          <w:p>
            <w:r>
              <w:rPr>
                <w:rFonts w:ascii="Arial" w:cs="Arial" w:eastAsia="Arial" w:hAnsi="Arial"/>
                <w:i/>
                <w:iCs/>
                <w:color w:val="666666"/>
                <w:sz w:val="19"/>
                <w:szCs w:val="19"/>
              </w:rPr>
              <w:t xml:space="preserve">function: prepare_dataloaders  ·  overlaps CPU I/O with GPU compute</w:t>
            </w:r>
          </w:p>
        </w:tc>
      </w:tr>
    </w:tbl>
    <w:p>
      <w:pPr>
        <w:spacing w:after="80" w:before="80"/>
      </w:pPr>
      <w:r>
        <w:t xml:space="preserve"/>
      </w:r>
    </w:p>
    <w:p>
      <w:pPr>
        <w:spacing w:after="60" w:before="60"/>
        <w:jc w:val="both"/>
      </w:pPr>
      <w:r>
        <w:rPr>
          <w:rFonts w:ascii="Arial" w:cs="Arial" w:eastAsia="Arial" w:hAnsi="Arial"/>
          <w:color w:val="2C3E50"/>
          <w:sz w:val="22"/>
          <w:szCs w:val="22"/>
        </w:rPr>
        <w:t xml:space="preserve">PyTorch's DataLoader is the bridge between your dataset on CPU RAM and your model on the GPU. Three settings enable parallelism 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num_workers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min(4, cpu_count() // 2)</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Background processes prefetch the next batch while GPU trains on the current one</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pin_memory</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True (GPU only)</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Stores tensors in page-locked RAM; CPU→GPU copy via DMA, non-blocking</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non_blocking</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True on .to(DEVICE)</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Async CPU→GPU transfer; Python continues without waiting</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persistent_workers</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True</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Workers stay alive between epochs; avoids fork() overhead each time</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drop_last</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True (train only)</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Drops incomplete final batch; prevents batch-norm instability on tiny batches</w:t>
            </w:r>
          </w:p>
        </w:tc>
      </w:tr>
    </w:tbl>
    <w:p>
      <w:pPr>
        <w:spacing w:after="80" w:before="80"/>
      </w:pPr>
      <w:r>
        <w:t xml:space="preserve"/>
      </w:r>
    </w:p>
    <w:p>
      <w:pPr>
        <w:spacing w:after="60" w:before="60"/>
        <w:jc w:val="both"/>
      </w:pPr>
      <w:r>
        <w:rPr>
          <w:rFonts w:ascii="Arial" w:cs="Arial" w:eastAsia="Arial" w:hAnsi="Arial"/>
          <w:color w:val="2C3E50"/>
          <w:sz w:val="22"/>
          <w:szCs w:val="22"/>
        </w:rPr>
        <w:t xml:space="preserve">The combined effect: while the GPU is computing gradients for batch N, the CPU workers are loading, pre-processing, and transferring batch N+1. The GPU never idles waiting for data.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185EA5"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Training Loop (500 epochs)</w:t>
            </w:r>
          </w:p>
          <w:p>
            <w:r>
              <w:rPr>
                <w:rFonts w:ascii="Arial" w:cs="Arial" w:eastAsia="Arial" w:hAnsi="Arial"/>
                <w:i/>
                <w:iCs/>
                <w:color w:val="666666"/>
                <w:sz w:val="19"/>
                <w:szCs w:val="19"/>
              </w:rPr>
              <w:t xml:space="preserve">functions: train, weighted_mse, build_loss_weights  ·  AMP + adjoint</w:t>
            </w:r>
          </w:p>
        </w:tc>
      </w:tr>
    </w:tbl>
    <w:p>
      <w:pPr>
        <w:spacing w:after="80" w:before="80"/>
      </w:pPr>
      <w:r>
        <w:t xml:space="preserve"/>
      </w:r>
    </w:p>
    <w:p>
      <w:pPr>
        <w:pStyle w:val="Heading3"/>
        <w:spacing w:after="80" w:before="200"/>
      </w:pPr>
      <w:r>
        <w:rPr>
          <w:rFonts w:ascii="Arial" w:cs="Arial" w:eastAsia="Arial" w:hAnsi="Arial"/>
          <w:b/>
          <w:bCs/>
          <w:color w:val="0A9396"/>
          <w:sz w:val="24"/>
          <w:szCs w:val="24"/>
        </w:rPr>
        <w:t xml:space="preserve">Step-by-step per epoch</w:t>
      </w:r>
    </w:p>
    <w:p>
      <w:pPr>
        <w:pStyle w:val="ListParagraph"/>
        <w:numPr>
          <w:ilvl w:val="0"/>
          <w:numId w:val="2"/>
        </w:numPr>
        <w:spacing w:after="40" w:before="40"/>
      </w:pPr>
      <w:r>
        <w:rPr>
          <w:rFonts w:ascii="Arial" w:cs="Arial" w:eastAsia="Arial" w:hAnsi="Arial"/>
          <w:color w:val="2C3E50"/>
          <w:sz w:val="22"/>
          <w:szCs w:val="22"/>
        </w:rPr>
        <w:t xml:space="preserve">Fetch batch from DataLoader (runs asynchronously via pin_memory + non_blocking).</w:t>
      </w:r>
    </w:p>
    <w:p>
      <w:pPr>
        <w:pStyle w:val="ListParagraph"/>
        <w:numPr>
          <w:ilvl w:val="0"/>
          <w:numId w:val="2"/>
        </w:numPr>
        <w:spacing w:after="40" w:before="40"/>
      </w:pPr>
      <w:r>
        <w:rPr>
          <w:rFonts w:ascii="Arial" w:cs="Arial" w:eastAsia="Arial" w:hAnsi="Arial"/>
          <w:color w:val="2C3E50"/>
          <w:sz w:val="22"/>
          <w:szCs w:val="22"/>
        </w:rPr>
        <w:t xml:space="preserve">Enter torch.cuda.amp.autocast context — forward pass computes in FP16.</w:t>
      </w:r>
    </w:p>
    <w:p>
      <w:pPr>
        <w:pStyle w:val="ListParagraph"/>
        <w:numPr>
          <w:ilvl w:val="0"/>
          <w:numId w:val="2"/>
        </w:numPr>
        <w:spacing w:after="40" w:before="40"/>
      </w:pPr>
      <w:r>
        <w:rPr>
          <w:rFonts w:ascii="Arial" w:cs="Arial" w:eastAsia="Arial" w:hAnsi="Arial"/>
          <w:color w:val="2C3E50"/>
          <w:sz w:val="22"/>
          <w:szCs w:val="22"/>
        </w:rPr>
        <w:t xml:space="preserve">Call model.forward(): normalise → odeint_adjoint → denormalise.</w:t>
      </w:r>
    </w:p>
    <w:p>
      <w:pPr>
        <w:pStyle w:val="ListParagraph"/>
        <w:numPr>
          <w:ilvl w:val="0"/>
          <w:numId w:val="2"/>
        </w:numPr>
        <w:spacing w:after="40" w:before="40"/>
      </w:pPr>
      <w:r>
        <w:rPr>
          <w:rFonts w:ascii="Arial" w:cs="Arial" w:eastAsia="Arial" w:hAnsi="Arial"/>
          <w:color w:val="2C3E50"/>
          <w:sz w:val="22"/>
          <w:szCs w:val="22"/>
        </w:rPr>
        <w:t xml:space="preserve">Compute weighted MSE in normalised space (radical species weighted 30×).</w:t>
      </w:r>
    </w:p>
    <w:p>
      <w:pPr>
        <w:pStyle w:val="ListParagraph"/>
        <w:numPr>
          <w:ilvl w:val="0"/>
          <w:numId w:val="2"/>
        </w:numPr>
        <w:spacing w:after="40" w:before="40"/>
      </w:pPr>
      <w:r>
        <w:rPr>
          <w:rFonts w:ascii="Arial" w:cs="Arial" w:eastAsia="Arial" w:hAnsi="Arial"/>
          <w:color w:val="2C3E50"/>
          <w:sz w:val="22"/>
          <w:szCs w:val="22"/>
        </w:rPr>
        <w:t xml:space="preserve">Add mass conservation penalty: (∑Xi − 1)² ensures mole fractions sum to 1.</w:t>
      </w:r>
    </w:p>
    <w:p>
      <w:pPr>
        <w:pStyle w:val="ListParagraph"/>
        <w:numPr>
          <w:ilvl w:val="0"/>
          <w:numId w:val="2"/>
        </w:numPr>
        <w:spacing w:after="40" w:before="40"/>
      </w:pPr>
      <w:r>
        <w:rPr>
          <w:rFonts w:ascii="Arial" w:cs="Arial" w:eastAsia="Arial" w:hAnsi="Arial"/>
          <w:color w:val="2C3E50"/>
          <w:sz w:val="22"/>
          <w:szCs w:val="22"/>
        </w:rPr>
        <w:t xml:space="preserve">scaler.scale(loss).backward() — adjoint method propagates gradients back through the ODE solver without storing the full computation graph.</w:t>
      </w:r>
    </w:p>
    <w:p>
      <w:pPr>
        <w:pStyle w:val="ListParagraph"/>
        <w:numPr>
          <w:ilvl w:val="0"/>
          <w:numId w:val="2"/>
        </w:numPr>
        <w:spacing w:after="40" w:before="40"/>
      </w:pPr>
      <w:r>
        <w:rPr>
          <w:rFonts w:ascii="Arial" w:cs="Arial" w:eastAsia="Arial" w:hAnsi="Arial"/>
          <w:color w:val="2C3E50"/>
          <w:sz w:val="22"/>
          <w:szCs w:val="22"/>
        </w:rPr>
        <w:t xml:space="preserve">Clip gradient norm to 1.0 — prevents adjoint instability for stiff dynamics.</w:t>
      </w:r>
    </w:p>
    <w:p>
      <w:pPr>
        <w:pStyle w:val="ListParagraph"/>
        <w:numPr>
          <w:ilvl w:val="0"/>
          <w:numId w:val="2"/>
        </w:numPr>
        <w:spacing w:after="40" w:before="40"/>
      </w:pPr>
      <w:r>
        <w:rPr>
          <w:rFonts w:ascii="Arial" w:cs="Arial" w:eastAsia="Arial" w:hAnsi="Arial"/>
          <w:color w:val="2C3E50"/>
          <w:sz w:val="22"/>
          <w:szCs w:val="22"/>
        </w:rPr>
        <w:t xml:space="preserve">scaler.step(optimizer) then scaler.update() — AMP unscales before step, adjusts scale factor.</w:t>
      </w:r>
    </w:p>
    <w:p>
      <w:pPr>
        <w:spacing w:after="80" w:before="80"/>
      </w:pPr>
      <w:r>
        <w:t xml:space="preserve"/>
      </w:r>
    </w:p>
    <w:p>
      <w:pPr>
        <w:pStyle w:val="Heading3"/>
        <w:spacing w:after="80" w:before="200"/>
      </w:pPr>
      <w:r>
        <w:rPr>
          <w:rFonts w:ascii="Arial" w:cs="Arial" w:eastAsia="Arial" w:hAnsi="Arial"/>
          <w:b/>
          <w:bCs/>
          <w:color w:val="0A9396"/>
          <w:sz w:val="24"/>
          <w:szCs w:val="24"/>
        </w:rPr>
        <w:t xml:space="preserve">Weighted MSE loss</w:t>
      </w:r>
    </w:p>
    <w:p>
      <w:pPr>
        <w:spacing w:after="60" w:before="60"/>
        <w:jc w:val="both"/>
      </w:pPr>
      <w:r>
        <w:rPr>
          <w:rFonts w:ascii="Arial" w:cs="Arial" w:eastAsia="Arial" w:hAnsi="Arial"/>
          <w:color w:val="2C3E50"/>
          <w:sz w:val="22"/>
          <w:szCs w:val="22"/>
        </w:rPr>
        <w:t xml:space="preserve">The loss is computed in normalised space. Each species gets a weight: 1.0 for stable species (H2, O2, H2O, AR, N2), and RADICAL_WEIGHT = 30.0 for reactive intermediates (OH, H, O, HO2, H2O2). This forces the network to accurately reproduce the fast radical dynamics that control ignition delay, not just the slow major-species evolution.</w:t>
      </w:r>
    </w:p>
    <w:p>
      <w:pPr>
        <w:spacing w:after="80" w:before="80"/>
      </w:pPr>
      <w:r>
        <w:t xml:space="preserve"/>
      </w:r>
    </w:p>
    <w:p>
      <w:pPr>
        <w:pStyle w:val="Heading3"/>
        <w:spacing w:after="80" w:before="200"/>
      </w:pPr>
      <w:r>
        <w:rPr>
          <w:rFonts w:ascii="Arial" w:cs="Arial" w:eastAsia="Arial" w:hAnsi="Arial"/>
          <w:b/>
          <w:bCs/>
          <w:color w:val="0A9396"/>
          <w:sz w:val="24"/>
          <w:szCs w:val="24"/>
        </w:rPr>
        <w:t xml:space="preserve">Learning rate schedule</w:t>
      </w:r>
    </w:p>
    <w:p>
      <w:pPr>
        <w:spacing w:after="60" w:before="60"/>
        <w:jc w:val="both"/>
      </w:pPr>
      <w:r>
        <w:rPr>
          <w:rFonts w:ascii="Arial" w:cs="Arial" w:eastAsia="Arial" w:hAnsi="Arial"/>
          <w:color w:val="2C3E50"/>
          <w:sz w:val="22"/>
          <w:szCs w:val="22"/>
        </w:rPr>
        <w:t xml:space="preserve">A 50-epoch linear warmup (5% to 100% of lr=3e-3) is followed by cosine annealing down to 1e-5. The warmup prevents the small-weight initialisation from being destroyed by large early gradients. Cosine annealing gives smooth decay without abrupt jumps.</w:t>
      </w:r>
    </w:p>
    <w:p>
      <w:pPr>
        <w:spacing w:after="80" w:before="80"/>
      </w:pPr>
      <w:r>
        <w:t xml:space="preserve"/>
      </w:r>
    </w:p>
    <w:p>
      <w:pPr>
        <w:pStyle w:val="Heading3"/>
        <w:spacing w:after="80" w:before="200"/>
      </w:pPr>
      <w:r>
        <w:rPr>
          <w:rFonts w:ascii="Arial" w:cs="Arial" w:eastAsia="Arial" w:hAnsi="Arial"/>
          <w:b/>
          <w:bCs/>
          <w:color w:val="0A9396"/>
          <w:sz w:val="24"/>
          <w:szCs w:val="24"/>
        </w:rPr>
        <w:t xml:space="preserve">Stiffness diagnostic (every 50 epochs)</w:t>
      </w:r>
    </w:p>
    <w:p>
      <w:pPr>
        <w:spacing w:after="60" w:before="60"/>
        <w:jc w:val="both"/>
      </w:pPr>
      <w:r>
        <w:rPr>
          <w:rFonts w:ascii="Arial" w:cs="Arial" w:eastAsia="Arial" w:hAnsi="Arial"/>
          <w:color w:val="2C3E50"/>
          <w:sz w:val="22"/>
          <w:szCs w:val="22"/>
        </w:rPr>
        <w:t xml:space="preserve">At each diagnostic checkpoint, a random state vector y_norm is selected from the training set. The Jacobian J = ∂(NNθ(y_norm)) / ∂y_norm is computed using torch.autograd.functional.jacobian. The stiffness ratio |λmax| / |λmin| is logged.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c>
          <w:tcPr>
            <w:tcW w:type="dxa" w:w="8160"/>
            <w:tcBorders>
              <w:top w:val="single" w:color="94D2BD" w:sz="1"/>
              <w:left w:val="single" w:color="94D2BD" w:sz="1"/>
              <w:bottom w:val="single" w:color="94D2BD" w:sz="1"/>
              <w:right w:val="single" w:color="94D2BD" w:sz="1"/>
            </w:tcBorders>
            <w:shd w:fill="EEF4F5" w:val="clear"/>
            <w:tcMar>
              <w:top w:type="dxa" w:w="80"/>
              <w:left w:type="dxa" w:w="160"/>
              <w:bottom w:type="dxa" w:w="80"/>
              <w:right w:type="dxa" w:w="120"/>
            </w:tcMar>
          </w:tcPr>
          <w:p>
            <w:r>
              <w:rPr>
                <w:rFonts w:ascii="Arial" w:cs="Arial" w:eastAsia="Arial" w:hAnsi="Arial"/>
                <w:color w:val="2C3E50"/>
                <w:sz w:val="21"/>
                <w:szCs w:val="21"/>
              </w:rPr>
              <w:t xml:space="preserve">A high stiffness ratio (&gt; 10⁶ in this code) means the network has learned dynamics with wildly separated timescales — exactly what is expected, since H2/O2 combustion is inherently stiff. If the ratio exceeds 1000, the dopri5 (explicit RK45) solver should be replaced with implicit_adams for more stable integration.</w:t>
            </w:r>
          </w:p>
        </w:tc>
      </w:tr>
    </w:tbl>
    <w:p>
      <w:pPr>
        <w:spacing w:after="80" w:before="80"/>
      </w:pPr>
      <w:r>
        <w:t xml:space="preserve"/>
      </w:r>
    </w:p>
    <w:p>
      <w:pPr>
        <w:pStyle w:val="Heading3"/>
        <w:spacing w:after="80" w:before="200"/>
      </w:pPr>
      <w:r>
        <w:rPr>
          <w:rFonts w:ascii="Arial" w:cs="Arial" w:eastAsia="Arial" w:hAnsi="Arial"/>
          <w:b/>
          <w:bCs/>
          <w:color w:val="0A9396"/>
          <w:sz w:val="24"/>
          <w:szCs w:val="24"/>
        </w:rPr>
        <w:t xml:space="preserve">Automatic Mixed Precision (AMP)</w:t>
      </w:r>
    </w:p>
    <w:p>
      <w:pPr>
        <w:spacing w:after="60" w:before="60"/>
        <w:jc w:val="both"/>
      </w:pPr>
      <w:r>
        <w:rPr>
          <w:rFonts w:ascii="Arial" w:cs="Arial" w:eastAsia="Arial" w:hAnsi="Arial"/>
          <w:color w:val="2C3E50"/>
          <w:sz w:val="22"/>
          <w:szCs w:val="22"/>
        </w:rPr>
        <w:t xml:space="preserve">FP16 (half precision) arithmetic uses half the memory bandwidth of FP32, and on NVIDIA tensor-core GPUs (Volta, Turing, Ampere) FP16 matrix multiplications run at 2×–8× throughput. The GradScaler multiplies the loss by a large scale factor before backward(), preventing FP16 underflow in gradient computation, then divides before the optimizer step.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0F6E5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6</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Plotting</w:t>
            </w:r>
          </w:p>
          <w:p>
            <w:r>
              <w:rPr>
                <w:rFonts w:ascii="Arial" w:cs="Arial" w:eastAsia="Arial" w:hAnsi="Arial"/>
                <w:i/>
                <w:iCs/>
                <w:color w:val="666666"/>
                <w:sz w:val="19"/>
                <w:szCs w:val="19"/>
              </w:rPr>
              <w:t xml:space="preserve">functions: plot_results, plot_species_grid  ·  4-panel + species grid</w:t>
            </w:r>
          </w:p>
        </w:tc>
      </w:tr>
    </w:tbl>
    <w:p>
      <w:pPr>
        <w:spacing w:after="80" w:before="80"/>
      </w:pPr>
      <w:r>
        <w:t xml:space="preserve"/>
      </w:r>
    </w:p>
    <w:p>
      <w:pPr>
        <w:spacing w:after="60" w:before="60"/>
        <w:jc w:val="both"/>
      </w:pPr>
      <w:r>
        <w:rPr>
          <w:rFonts w:ascii="Arial" w:cs="Arial" w:eastAsia="Arial" w:hAnsi="Arial"/>
          <w:color w:val="2C3E50"/>
          <w:sz w:val="22"/>
          <w:szCs w:val="22"/>
        </w:rPr>
        <w:t xml:space="preserve">Two plotting functions run after training: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Plot</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4-panel summary</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neural_ode_results_v3.png</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 Train/val loss  (b) Stiffness ratio  (c) OH mole fraction  (d) Temperature profiles</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Species grid</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species_grid_v3.png</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All 10 species + temperature at a single T₀, ground truth vs NODE on a 3×4 subplot grid</w:t>
            </w:r>
          </w:p>
        </w:tc>
      </w:tr>
    </w:tbl>
    <w:p>
      <w:pPr>
        <w:spacing w:after="80" w:before="80"/>
      </w:pPr>
      <w:r>
        <w:t xml:space="preserve"/>
      </w:r>
    </w:p>
    <w:p>
      <w:pPr>
        <w:spacing w:after="60" w:before="60"/>
        <w:jc w:val="both"/>
      </w:pPr>
      <w:r>
        <w:rPr>
          <w:rFonts w:ascii="Arial" w:cs="Arial" w:eastAsia="Arial" w:hAnsi="Arial"/>
          <w:color w:val="2C3E50"/>
          <w:sz w:val="22"/>
          <w:szCs w:val="22"/>
        </w:rPr>
        <w:t xml:space="preserve">Both functions run inference in batch mode — all sample profiles are evaluated in a single odeint call before plotting. This is significantly faster than looping over samples one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0F6E5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7</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CSV Export (Batch Inference)</w:t>
            </w:r>
          </w:p>
          <w:p>
            <w:r>
              <w:rPr>
                <w:rFonts w:ascii="Arial" w:cs="Arial" w:eastAsia="Arial" w:hAnsi="Arial"/>
                <w:i/>
                <w:iCs/>
                <w:color w:val="666666"/>
                <w:sz w:val="19"/>
                <w:szCs w:val="19"/>
              </w:rPr>
              <w:t xml:space="preserve">functions: export_ground_truth_csv, export_predictions_csv_parallel</w:t>
            </w:r>
          </w:p>
        </w:tc>
      </w:tr>
    </w:tbl>
    <w:p>
      <w:pPr>
        <w:spacing w:after="80" w:before="80"/>
      </w:pPr>
      <w:r>
        <w:t xml:space="preserve"/>
      </w:r>
    </w:p>
    <w:p>
      <w:pPr>
        <w:spacing w:after="60" w:before="60"/>
        <w:jc w:val="both"/>
      </w:pPr>
      <w:r>
        <w:rPr>
          <w:rFonts w:ascii="Arial" w:cs="Arial" w:eastAsia="Arial" w:hAnsi="Arial"/>
          <w:color w:val="2C3E50"/>
          <w:sz w:val="22"/>
          <w:szCs w:val="22"/>
        </w:rPr>
        <w:t xml:space="preserve">Two CSV files are written:</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cantera_ground_truth.csv: all 200 Cantera trajectories, columns: sample_id, T0_K, time_s, H2, H, O, O2, OH, H2O, HO2, H2O2, AR, N2, T_K.</w:t>
      </w:r>
    </w:p>
    <w:p>
      <w:pPr>
        <w:pStyle w:val="ListParagraph"/>
        <w:numPr>
          <w:ilvl w:val="0"/>
          <w:numId w:val="2"/>
        </w:numPr>
        <w:spacing w:after="40" w:before="40"/>
      </w:pPr>
      <w:r>
        <w:rPr>
          <w:rFonts w:ascii="Arial" w:cs="Arial" w:eastAsia="Arial" w:hAnsi="Arial"/>
          <w:color w:val="2C3E50"/>
          <w:sz w:val="22"/>
          <w:szCs w:val="22"/>
        </w:rPr>
        <w:t xml:space="preserve">neural_ode_predictions.csv: Neural ODE predictions for all 200 initial conditions, same format with _pred suffix on species columns.</w:t>
      </w:r>
    </w:p>
    <w:p>
      <w:pPr>
        <w:spacing w:after="80" w:before="80"/>
      </w:pPr>
      <w:r>
        <w:t xml:space="preserve"/>
      </w:r>
    </w:p>
    <w:p>
      <w:pPr>
        <w:spacing w:after="60" w:before="60"/>
        <w:jc w:val="both"/>
      </w:pPr>
      <w:r>
        <w:rPr>
          <w:rFonts w:ascii="Arial" w:cs="Arial" w:eastAsia="Arial" w:hAnsi="Arial"/>
          <w:color w:val="2C3E50"/>
          <w:sz w:val="22"/>
          <w:szCs w:val="22"/>
        </w:rPr>
        <w:t xml:space="preserve">The predictions are generated in chunks of 64 samples per odeint call. Passing 64 trajectories simultaneously to a single odeint call is much more GPU-efficient than 64 serial calls — the solver can parallelise the Jacobian-vector products across the batch dimension.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E07B00"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8</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Benchmark</w:t>
            </w:r>
          </w:p>
          <w:p>
            <w:r>
              <w:rPr>
                <w:rFonts w:ascii="Arial" w:cs="Arial" w:eastAsia="Arial" w:hAnsi="Arial"/>
                <w:i/>
                <w:iCs/>
                <w:color w:val="666666"/>
                <w:sz w:val="19"/>
                <w:szCs w:val="19"/>
              </w:rPr>
              <w:t xml:space="preserve">function: benchmark  ·  three-way timing comparison</w:t>
            </w:r>
          </w:p>
        </w:tc>
      </w:tr>
    </w:tbl>
    <w:p>
      <w:pPr>
        <w:spacing w:after="80" w:before="80"/>
      </w:pPr>
      <w:r>
        <w:t xml:space="preserve"/>
      </w:r>
    </w:p>
    <w:p>
      <w:pPr>
        <w:spacing w:after="60" w:before="60"/>
        <w:jc w:val="both"/>
      </w:pPr>
      <w:r>
        <w:rPr>
          <w:rFonts w:ascii="Arial" w:cs="Arial" w:eastAsia="Arial" w:hAnsi="Arial"/>
          <w:color w:val="2C3E50"/>
          <w:sz w:val="22"/>
          <w:szCs w:val="22"/>
        </w:rPr>
        <w:t xml:space="preserve">The benchmark runs three timing experiments on the same 20 randomly selected initial conditions: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 (CPU)</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Cantera LSODA (serial)</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Standard ODE integrator, 1 sample at a time</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12–15 ms / sample</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Neural ODE (serial)</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NODE inference, 1 sample at a time</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15–25 ms on CPU (slower until GPU)</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Neural ODE (batch=20)</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NODE inference, all 20 samples in one odeint call</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2–10 ms / sample on GPU (10×+ speedup)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94D2BD" w:sz="1"/>
              <w:left w:val="single" w:color="94D2BD" w:sz="1"/>
              <w:bottom w:val="single" w:color="94D2BD" w:sz="1"/>
              <w:right w:val="single" w:color="94D2BD" w:sz="1"/>
            </w:tcBorders>
            <w:shd w:fill="EEF4F5" w:val="clear"/>
            <w:tcMar>
              <w:top w:type="dxa" w:w="80"/>
              <w:left w:type="dxa" w:w="160"/>
              <w:bottom w:type="dxa" w:w="80"/>
              <w:right w:type="dxa" w:w="120"/>
            </w:tcMar>
          </w:tcPr>
          <w:p>
            <w:r>
              <w:rPr>
                <w:rFonts w:ascii="Arial" w:cs="Arial" w:eastAsia="Arial" w:hAnsi="Arial"/>
                <w:color w:val="2C3E50"/>
                <w:sz w:val="21"/>
                <w:szCs w:val="21"/>
              </w:rPr>
              <w:t xml:space="preserve">The Neural ODE is slower than Cantera on CPU. The speedup only materialises on GPU with large batch sizes, where the parallel ODE solve across the batch dimension overwhelms Cantera's highly optimised scalar integrator. This is the intended deployment scenario: real-time CFD look-up tables evaluated for thousands of cells simultaneously.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2C3E50"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9</w:t>
            </w:r>
          </w:p>
        </w:tc>
        <w:tc>
          <w:tcPr>
            <w:tcW w:type="dxa" w:w="8640"/>
            <w:tcBorders>
              <w:top w:val="none"/>
              <w:left w:val="none"/>
              <w:bottom w:val="single" w:color="94D2BD" w:sz="2"/>
              <w:right w:val="none"/>
            </w:tcBorders>
            <w:shd w:fill="F4F6F7" w:val="clear"/>
            <w:tcMar>
              <w:top w:type="dxa" w:w="80"/>
              <w:left w:type="dxa" w:w="200"/>
              <w:bottom w:type="dxa" w:w="80"/>
              <w:right w:type="dxa" w:w="120"/>
            </w:tcMar>
          </w:tcPr>
          <w:p>
            <w:r>
              <w:rPr>
                <w:rFonts w:ascii="Arial" w:cs="Arial" w:eastAsia="Arial" w:hAnsi="Arial"/>
                <w:b/>
                <w:bCs/>
                <w:color w:val="005F73"/>
                <w:sz w:val="26"/>
                <w:szCs w:val="26"/>
              </w:rPr>
              <w:t xml:space="preserve">Save Checkpoint</w:t>
            </w:r>
          </w:p>
          <w:p>
            <w:r>
              <w:rPr>
                <w:rFonts w:ascii="Arial" w:cs="Arial" w:eastAsia="Arial" w:hAnsi="Arial"/>
                <w:i/>
                <w:iCs/>
                <w:color w:val="666666"/>
                <w:sz w:val="19"/>
                <w:szCs w:val="19"/>
              </w:rPr>
              <w:t xml:space="preserve">stores everything needed to resume training or run inference</w:t>
            </w:r>
          </w:p>
        </w:tc>
      </w:tr>
    </w:tbl>
    <w:p>
      <w:pPr>
        <w:spacing w:after="80" w:before="80"/>
      </w:pPr>
      <w:r>
        <w:t xml:space="preserve"/>
      </w:r>
    </w:p>
    <w:p>
      <w:pPr>
        <w:spacing w:after="60" w:before="60"/>
        <w:jc w:val="both"/>
      </w:pPr>
      <w:r>
        <w:rPr>
          <w:rFonts w:ascii="Arial" w:cs="Arial" w:eastAsia="Arial" w:hAnsi="Arial"/>
          <w:color w:val="2C3E50"/>
          <w:sz w:val="22"/>
          <w:szCs w:val="22"/>
        </w:rPr>
        <w:t xml:space="preserve">The checkpoint file (neural_ode_v3_checkpoint.pt) contains:</w:t>
      </w:r>
    </w:p>
    <w:p>
      <w:pPr>
        <w:pStyle w:val="ListParagraph"/>
        <w:numPr>
          <w:ilvl w:val="0"/>
          <w:numId w:val="2"/>
        </w:numPr>
        <w:spacing w:after="40" w:before="40"/>
      </w:pPr>
      <w:r>
        <w:rPr>
          <w:rFonts w:ascii="Arial" w:cs="Arial" w:eastAsia="Arial" w:hAnsi="Arial"/>
          <w:color w:val="2C3E50"/>
          <w:sz w:val="22"/>
          <w:szCs w:val="22"/>
        </w:rPr>
        <w:t xml:space="preserve">odefunc_state: the trained ChemistryODEFunc weights (DataParallel wrapper is stripped before saving).</w:t>
      </w:r>
    </w:p>
    <w:p>
      <w:pPr>
        <w:pStyle w:val="ListParagraph"/>
        <w:numPr>
          <w:ilvl w:val="0"/>
          <w:numId w:val="2"/>
        </w:numPr>
        <w:spacing w:after="40" w:before="40"/>
      </w:pPr>
      <w:r>
        <w:rPr>
          <w:rFonts w:ascii="Arial" w:cs="Arial" w:eastAsia="Arial" w:hAnsi="Arial"/>
          <w:color w:val="2C3E50"/>
          <w:sz w:val="22"/>
          <w:szCs w:val="22"/>
        </w:rPr>
        <w:t xml:space="preserve">norm_ymin, norm_ymax: the species normalisation statistics — must be loaded alongside the weights for inference.</w:t>
      </w:r>
    </w:p>
    <w:p>
      <w:pPr>
        <w:pStyle w:val="ListParagraph"/>
        <w:numPr>
          <w:ilvl w:val="0"/>
          <w:numId w:val="2"/>
        </w:numPr>
        <w:spacing w:after="40" w:before="40"/>
      </w:pPr>
      <w:r>
        <w:rPr>
          <w:rFonts w:ascii="Arial" w:cs="Arial" w:eastAsia="Arial" w:hAnsi="Arial"/>
          <w:color w:val="2C3E50"/>
          <w:sz w:val="22"/>
          <w:szCs w:val="22"/>
        </w:rPr>
        <w:t xml:space="preserve">history: training loss curves and stiffness ratio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IMPORTANT</w:t>
            </w:r>
          </w:p>
        </w:tc>
        <w:tc>
          <w:tcPr>
            <w:tcW w:type="dxa" w:w="8160"/>
            <w:tcBorders>
              <w:top w:val="single" w:color="94D2BD" w:sz="1"/>
              <w:left w:val="single" w:color="94D2BD" w:sz="1"/>
              <w:bottom w:val="single" w:color="94D2BD" w:sz="1"/>
              <w:right w:val="single" w:color="94D2BD" w:sz="1"/>
            </w:tcBorders>
            <w:shd w:fill="EEF4F5" w:val="clear"/>
            <w:tcMar>
              <w:top w:type="dxa" w:w="80"/>
              <w:left w:type="dxa" w:w="160"/>
              <w:bottom w:type="dxa" w:w="80"/>
              <w:right w:type="dxa" w:w="120"/>
            </w:tcMar>
          </w:tcPr>
          <w:p>
            <w:r>
              <w:rPr>
                <w:rFonts w:ascii="Arial" w:cs="Arial" w:eastAsia="Arial" w:hAnsi="Arial"/>
                <w:color w:val="2C3E50"/>
                <w:sz w:val="21"/>
                <w:szCs w:val="21"/>
              </w:rPr>
              <w:t xml:space="preserve">Saving model.odefunc.module.state_dict() (not model.odefunc.state_dict()) strips the DataParallel wrapper from the saved weights. This lets you load the checkpoint on a single-GPU or CPU machine without needing nn.DataParallel to be active.</w:t>
            </w:r>
          </w:p>
        </w:tc>
      </w:tr>
    </w:tbl>
    <w:p>
      <w:r>
        <w:br w:type="page"/>
      </w:r>
    </w:p>
    <w:p>
      <w:pPr>
        <w:pStyle w:val="Heading2"/>
        <w:pBdr>
          <w:bottom w:val="single" w:color="94D2BD" w:sz="4" w:space="4"/>
        </w:pBdr>
        <w:spacing w:after="120" w:before="320"/>
      </w:pPr>
      <w:r>
        <w:rPr>
          <w:rFonts w:ascii="Arial" w:cs="Arial" w:eastAsia="Arial" w:hAnsi="Arial"/>
          <w:b/>
          <w:bCs/>
          <w:color w:val="005F73"/>
          <w:sz w:val="28"/>
          <w:szCs w:val="28"/>
        </w:rPr>
        <w:t xml:space="preserve">Parallelism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Bottleneck it solves</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speedup</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Data generation</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multiprocessing.Pool</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Cantera ODE solve (CPU-bound)</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 on N cores</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DataLoader I/O</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num_workers + pin_memory</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CPU→GPU transfer latency</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~20–40% throughput increase</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Forward/backward</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torch.cuda.amp (FP16)</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GPU memory bandwidth</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1.5–2× on tensor-core GPU</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Kernel fusion</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torch.compile</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Python overhead + kernel launches</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10–30% on GPU</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Multi-GPU</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nn.DataParallel</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Single-GPU memory limit</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~(N-1)× throughput</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Batch inference</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Single odeint over batch</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Per-sample overhead</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10–100× vs serial</w:t>
            </w:r>
          </w:p>
        </w:tc>
      </w:tr>
    </w:tbl>
    <w:p>
      <w:pPr>
        <w:spacing w:after="80" w:before="80"/>
      </w:pPr>
      <w:r>
        <w:t xml:space="preserve"/>
      </w:r>
    </w:p>
    <w:p>
      <w:pPr>
        <w:pStyle w:val="Heading2"/>
        <w:pBdr>
          <w:bottom w:val="single" w:color="94D2BD" w:sz="4" w:space="4"/>
        </w:pBdr>
        <w:spacing w:after="120" w:before="320"/>
      </w:pPr>
      <w:r>
        <w:rPr>
          <w:rFonts w:ascii="Arial" w:cs="Arial" w:eastAsia="Arial" w:hAnsi="Arial"/>
          <w:b/>
          <w:bCs/>
          <w:color w:val="005F73"/>
          <w:sz w:val="28"/>
          <w:szCs w:val="28"/>
        </w:rPr>
        <w:t xml:space="preserve">Hardware Decision Guide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Your hardware</w:t>
            </w:r>
          </w:p>
        </w:tc>
        <w:tc>
          <w:tcPr>
            <w:tcBorders>
              <w:top w:val="single" w:color="0A9396" w:sz="1"/>
              <w:left w:val="single" w:color="0A9396" w:sz="1"/>
              <w:bottom w:val="single" w:color="0A9396" w:sz="1"/>
              <w:right w:val="single" w:color="0A9396" w:sz="1"/>
            </w:tcBorders>
            <w:shd w:fill="005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settings</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Laptop CPU only</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n_workers = 4, batch_size = 8, solver = implicit_adams, use_compile = False</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Single GPU (RTX/A-series)</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n_workers = 4, batch_size = 32–64, USE_AMP = True, use_compile = True</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Multi-GPU single node</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wrap_for_multi_gpu() already in code, increase batch_size proportionally</w:t>
            </w:r>
          </w:p>
        </w:tc>
      </w:tr>
      <w:tr>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HPC multi-node cluster</w:t>
            </w:r>
          </w:p>
        </w:tc>
        <w:tc>
          <w:tcPr>
            <w:tcBorders>
              <w:top w:val="single" w:color="DDDDDD" w:sz="1"/>
              <w:left w:val="single" w:color="DDDDDD" w:sz="1"/>
              <w:bottom w:val="single" w:color="DDDDDD" w:sz="1"/>
              <w:right w:val="single" w:color="DDDDDD" w:sz="1"/>
            </w:tcBorders>
            <w:shd w:fill="EEF4F5" w:val="clear"/>
            <w:tcMar>
              <w:top w:type="dxa" w:w="60"/>
              <w:left w:type="dxa" w:w="120"/>
              <w:bottom w:type="dxa" w:w="60"/>
              <w:right w:type="dxa" w:w="120"/>
            </w:tcMar>
          </w:tcPr>
          <w:p>
            <w:r>
              <w:rPr>
                <w:rFonts w:ascii="Arial" w:cs="Arial" w:eastAsia="Arial" w:hAnsi="Arial"/>
                <w:color w:val="2C3E50"/>
                <w:sz w:val="20"/>
                <w:szCs w:val="20"/>
              </w:rPr>
              <w:t xml:space="preserve">Switch to torchrun + DistributedDataParallel (see commented block in main())</w:t>
            </w:r>
          </w:p>
        </w:tc>
      </w:tr>
    </w:tbl>
    <w:p>
      <w:pPr>
        <w:spacing w:after="80" w:before="80"/>
      </w:pPr>
      <w:r>
        <w:t xml:space="preserve"/>
      </w:r>
    </w:p>
    <w:p>
      <w:pPr>
        <w:jc w:val="center"/>
      </w:pPr>
      <w:r>
        <w:rPr>
          <w:rFonts w:ascii="Arial" w:cs="Arial" w:eastAsia="Arial" w:hAnsi="Arial"/>
          <w:i/>
          <w:iCs/>
          <w:color w:val="888888"/>
          <w:sz w:val="18"/>
          <w:szCs w:val="18"/>
        </w:rPr>
        <w:t xml:space="preserve">SciML Curriculum · Module 2: Neural ODEs for Chemical Kinetics · IIT Madras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Neural ODE v3 — SciML Curriculum  |  Page </w:t>
    </w:r>
    <w:r>
      <w:rPr>
        <w:rFonts w:ascii="Arial" w:cs="Arial" w:eastAsia="Arial" w:hAnsi="Arial"/>
        <w:color w:val="005F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5F73"/>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A93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2026-04-15T11:34:50.154Z</dcterms:created>
  <dcterms:modified xsi:type="dcterms:W3CDTF">2026-04-15T11:34:50.155Z</dcterms:modified>
</cp:coreProperties>
</file>

<file path=docProps/custom.xml><?xml version="1.0" encoding="utf-8"?>
<Properties xmlns="http://schemas.openxmlformats.org/officeDocument/2006/custom-properties" xmlns:vt="http://schemas.openxmlformats.org/officeDocument/2006/docPropsVTypes"/>
</file>