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pgSz w:w="11909" w:h="16834"/>
          <w:pgMar w:top="0" w:right="0" w:bottom="0" w:left="0" w:header="0" w:footer="720" w:gutter="0"/>
          <w:cols w:space="720"/>
          <w:docGrid w:linePitch="360"/>
        </w:sectPr>
      </w:pPr>
    </w:p>
    <w:p>
      <w:pPr>
        <w:pStyle w:val="H1"/>
      </w:pPr>
      <w:r>
        <w:t>TABLE OF CONTENTS</w:t>
      </w:r>
    </w:p>
    <w:p>
      <w:pPr>
        <w:spacing w:after="80"/>
      </w:pPr>
      <w:r>
        <w:rPr>
          <w:sz w:val="24"/>
        </w:rPr>
        <w:t>Objective</w:t>
      </w:r>
      <w:r>
        <w:rPr>
          <w:sz w:val="24"/>
        </w:rPr>
        <w:t xml:space="preserve">                                                           3</w:t>
      </w:r>
    </w:p>
    <w:p>
      <w:pPr>
        <w:spacing w:after="80"/>
      </w:pPr>
      <w:r>
        <w:rPr>
          <w:sz w:val="24"/>
        </w:rPr>
        <w:t>Testing Coverage</w:t>
      </w:r>
      <w:r>
        <w:rPr>
          <w:sz w:val="24"/>
        </w:rPr>
        <w:t xml:space="preserve">                                                    3</w:t>
      </w:r>
    </w:p>
    <w:p>
      <w:pPr>
        <w:spacing w:after="80"/>
      </w:pPr>
      <w:r>
        <w:rPr>
          <w:sz w:val="24"/>
        </w:rPr>
        <w:t>Testing Update</w:t>
      </w:r>
      <w:r>
        <w:rPr>
          <w:sz w:val="24"/>
        </w:rPr>
        <w:t xml:space="preserve">                                                      4</w:t>
      </w:r>
    </w:p>
    <w:p>
      <w:pPr>
        <w:spacing w:after="80"/>
      </w:pPr>
      <w:r>
        <w:rPr>
          <w:sz w:val="24"/>
        </w:rPr>
        <w:t>UAT Sheet and Next Steps</w:t>
      </w:r>
      <w:r>
        <w:rPr>
          <w:sz w:val="24"/>
        </w:rPr>
        <w:t xml:space="preserve">                                            5</w:t>
      </w:r>
    </w:p>
    <w:p>
      <w:r>
        <w:br w:type="page"/>
      </w:r>
    </w:p>
    <w:p>
      <w:pPr>
        <w:pStyle w:val="H1"/>
      </w:pPr>
      <w:r>
        <w:t>Objective</w:t>
      </w:r>
    </w:p>
    <w:p>
      <w:r>
        <w:t>This report provides an update on the Graviti testing work completed so far. It is based on the testing INDEX and explains the areas covered during testing.</w:t>
      </w:r>
    </w:p>
    <w:p>
      <w:r>
        <w:rPr>
          <w:b/>
        </w:rPr>
        <w:t>The INDEX contains 1,010 planned test cases across the Graviti modules. This report focuses on testing coverage only. Current bugs, evidence, and retest updates are maintained separately in the UAT sheet.</w:t>
      </w:r>
    </w:p>
    <w:p>
      <w:pPr>
        <w:pStyle w:val="H1"/>
      </w:pPr>
      <w:r>
        <w:t>Testing Coverage</w:t>
      </w:r>
    </w:p>
    <w:tbl>
      <w:tblPr>
        <w:tblW w:type="dxa" w:w="9360"/>
        <w:jc w:val="center"/>
        <w:tblLayout w:type="fixed"/>
        <w:tblLook w:firstColumn="1" w:firstRow="1" w:lastColumn="0" w:lastRow="0" w:noHBand="0" w:noVBand="1" w:val="04A0"/>
      </w:tblPr>
      <w:tblGrid>
        <w:gridCol w:w="6150"/>
        <w:gridCol w:w="3210"/>
      </w:tblGrid>
      <w:tr>
        <w:trPr>
          <w:tblHeader w:val="true"/>
        </w:trPr>
        <w:tc>
          <w:tcPr>
            <w:tcW w:type="dxa" w:w="6150"/>
            <w:shd w:fill="A6A6A6"/>
            <w:tcMar>
              <w:top w:w="120" w:type="dxa"/>
              <w:start w:w="120" w:type="dxa"/>
              <w:bottom w:w="120" w:type="dxa"/>
              <w:end w:w="120" w:type="dxa"/>
            </w:tcMar>
            <w:vAlign w:val="center"/>
          </w:tcPr>
          <w:p>
            <w:pPr>
              <w:spacing w:after="0" w:line="271" w:lineRule="auto"/>
              <w:jc w:val="center"/>
            </w:pPr>
            <w:r>
              <w:rPr>
                <w:rFonts w:ascii="Arial" w:hAnsi="Arial"/>
                <w:b/>
                <w:sz w:val="20"/>
              </w:rPr>
              <w:t>Testing Area</w:t>
            </w:r>
          </w:p>
        </w:tc>
        <w:tc>
          <w:tcPr>
            <w:tcW w:type="dxa" w:w="3210"/>
            <w:shd w:fill="A6A6A6"/>
            <w:tcMar>
              <w:top w:w="120" w:type="dxa"/>
              <w:start w:w="120" w:type="dxa"/>
              <w:bottom w:w="120" w:type="dxa"/>
              <w:end w:w="120" w:type="dxa"/>
            </w:tcMar>
            <w:vAlign w:val="center"/>
          </w:tcPr>
          <w:p>
            <w:pPr>
              <w:spacing w:after="0" w:line="271" w:lineRule="auto"/>
              <w:jc w:val="center"/>
            </w:pPr>
            <w:r>
              <w:rPr>
                <w:rFonts w:ascii="Arial" w:hAnsi="Arial"/>
                <w:b/>
                <w:sz w:val="20"/>
              </w:rPr>
              <w:t>Status</w:t>
            </w:r>
          </w:p>
        </w:tc>
      </w:tr>
      <w:tr>
        <w:tc>
          <w:tcPr>
            <w:tcW w:type="dxa" w:w="6150"/>
            <w:tcMar>
              <w:top w:w="120" w:type="dxa"/>
              <w:start w:w="120" w:type="dxa"/>
              <w:bottom w:w="120" w:type="dxa"/>
              <w:end w:w="120" w:type="dxa"/>
            </w:tcMar>
            <w:vAlign w:val="center"/>
          </w:tcPr>
          <w:p>
            <w:pPr>
              <w:spacing w:after="120"/>
            </w:pPr>
            <w:r>
              <w:rPr>
                <w:rFonts w:ascii="Arial" w:hAnsi="Arial"/>
                <w:color w:val="5A5A5A"/>
                <w:sz w:val="22"/>
                <w:u w:val="single"/>
              </w:rPr>
              <w:t>Account and user access</w:t>
            </w:r>
          </w:p>
          <w:p>
            <w:pPr>
              <w:pStyle w:val="ListBullet"/>
              <w:spacing w:after="40" w:line="259" w:lineRule="auto"/>
            </w:pPr>
            <w:r>
              <w:rPr>
                <w:rFonts w:ascii="Arial" w:hAnsi="Arial"/>
                <w:sz w:val="19"/>
              </w:rPr>
              <w:t>Registration</w:t>
            </w:r>
          </w:p>
          <w:p>
            <w:pPr>
              <w:pStyle w:val="ListBullet"/>
              <w:spacing w:after="40" w:line="259" w:lineRule="auto"/>
            </w:pPr>
            <w:r>
              <w:rPr>
                <w:rFonts w:ascii="Arial" w:hAnsi="Arial"/>
                <w:sz w:val="19"/>
              </w:rPr>
              <w:t>Login</w:t>
            </w:r>
          </w:p>
          <w:p>
            <w:pPr>
              <w:pStyle w:val="ListBullet"/>
              <w:spacing w:after="40" w:line="259" w:lineRule="auto"/>
            </w:pPr>
            <w:r>
              <w:rPr>
                <w:rFonts w:ascii="Arial" w:hAnsi="Arial"/>
                <w:sz w:val="19"/>
              </w:rPr>
              <w:t>KYC (Signzy)</w:t>
            </w:r>
          </w:p>
        </w:tc>
        <w:tc>
          <w:tcPr>
            <w:tcW w:type="dxa" w:w="3210"/>
            <w:tcMar>
              <w:top w:w="120" w:type="dxa"/>
              <w:start w:w="120" w:type="dxa"/>
              <w:bottom w:w="120" w:type="dxa"/>
              <w:end w:w="120" w:type="dxa"/>
            </w:tcMar>
            <w:vAlign w:val="center"/>
          </w:tcPr>
          <w:p>
            <w:pPr>
              <w:spacing w:after="100"/>
            </w:pPr>
            <w:r>
              <w:rPr>
                <w:rFonts w:ascii="Arial" w:hAnsi="Arial"/>
                <w:sz w:val="20"/>
              </w:rPr>
              <w:t>Testing has been carried out on the available Web, Android, and iOS flows.</w:t>
            </w:r>
          </w:p>
        </w:tc>
      </w:tr>
      <w:tr>
        <w:tc>
          <w:tcPr>
            <w:tcW w:type="dxa" w:w="6150"/>
            <w:tcMar>
              <w:top w:w="120" w:type="dxa"/>
              <w:start w:w="120" w:type="dxa"/>
              <w:bottom w:w="120" w:type="dxa"/>
              <w:end w:w="120" w:type="dxa"/>
            </w:tcMar>
            <w:vAlign w:val="center"/>
          </w:tcPr>
          <w:p>
            <w:pPr>
              <w:spacing w:after="120"/>
            </w:pPr>
            <w:r>
              <w:rPr>
                <w:rFonts w:ascii="Arial" w:hAnsi="Arial"/>
                <w:color w:val="5A5A5A"/>
                <w:sz w:val="22"/>
                <w:u w:val="single"/>
              </w:rPr>
              <w:t>Wallet and user funds</w:t>
            </w:r>
          </w:p>
          <w:p>
            <w:pPr>
              <w:pStyle w:val="ListBullet"/>
              <w:spacing w:after="40" w:line="259" w:lineRule="auto"/>
            </w:pPr>
            <w:r>
              <w:rPr>
                <w:rFonts w:ascii="Arial" w:hAnsi="Arial"/>
                <w:sz w:val="19"/>
              </w:rPr>
              <w:t>Wallet</w:t>
            </w:r>
          </w:p>
          <w:p>
            <w:pPr>
              <w:pStyle w:val="ListBullet"/>
              <w:spacing w:after="40" w:line="259" w:lineRule="auto"/>
            </w:pPr>
            <w:r>
              <w:rPr>
                <w:rFonts w:ascii="Arial" w:hAnsi="Arial"/>
                <w:sz w:val="19"/>
              </w:rPr>
              <w:t>Deposit and wallet-transfer related flows</w:t>
            </w:r>
          </w:p>
        </w:tc>
        <w:tc>
          <w:tcPr>
            <w:tcW w:type="dxa" w:w="3210"/>
            <w:tcMar>
              <w:top w:w="120" w:type="dxa"/>
              <w:start w:w="120" w:type="dxa"/>
              <w:bottom w:w="120" w:type="dxa"/>
              <w:end w:w="120" w:type="dxa"/>
            </w:tcMar>
            <w:vAlign w:val="center"/>
          </w:tcPr>
          <w:p>
            <w:pPr>
              <w:spacing w:after="100"/>
            </w:pPr>
            <w:r>
              <w:rPr>
                <w:rFonts w:ascii="Arial" w:hAnsi="Arial"/>
                <w:sz w:val="20"/>
              </w:rPr>
              <w:t>Testing has been performed for the available wallet flows. Any new observations are being recorded in the UAT sheet.</w:t>
            </w:r>
          </w:p>
        </w:tc>
      </w:tr>
      <w:tr>
        <w:tc>
          <w:tcPr>
            <w:tcW w:type="dxa" w:w="6150"/>
            <w:tcMar>
              <w:top w:w="120" w:type="dxa"/>
              <w:start w:w="120" w:type="dxa"/>
              <w:bottom w:w="120" w:type="dxa"/>
              <w:end w:w="120" w:type="dxa"/>
            </w:tcMar>
            <w:vAlign w:val="center"/>
          </w:tcPr>
          <w:p>
            <w:pPr>
              <w:spacing w:after="120"/>
            </w:pPr>
            <w:r>
              <w:rPr>
                <w:rFonts w:ascii="Arial" w:hAnsi="Arial"/>
                <w:color w:val="5A5A5A"/>
                <w:sz w:val="22"/>
                <w:u w:val="single"/>
              </w:rPr>
              <w:t>Trading journeys</w:t>
            </w:r>
          </w:p>
          <w:p>
            <w:pPr>
              <w:pStyle w:val="ListBullet"/>
              <w:spacing w:after="40" w:line="259" w:lineRule="auto"/>
            </w:pPr>
            <w:r>
              <w:rPr>
                <w:rFonts w:ascii="Arial" w:hAnsi="Arial"/>
                <w:sz w:val="19"/>
              </w:rPr>
              <w:t>Perpetuals</w:t>
            </w:r>
          </w:p>
          <w:p>
            <w:pPr>
              <w:pStyle w:val="ListBullet"/>
              <w:spacing w:after="40" w:line="259" w:lineRule="auto"/>
            </w:pPr>
            <w:r>
              <w:rPr>
                <w:rFonts w:ascii="Arial" w:hAnsi="Arial"/>
                <w:sz w:val="19"/>
              </w:rPr>
              <w:t>Options Trading</w:t>
            </w:r>
          </w:p>
          <w:p>
            <w:pPr>
              <w:pStyle w:val="ListBullet"/>
              <w:spacing w:after="40" w:line="259" w:lineRule="auto"/>
            </w:pPr>
            <w:r>
              <w:rPr>
                <w:rFonts w:ascii="Arial" w:hAnsi="Arial"/>
                <w:sz w:val="19"/>
              </w:rPr>
              <w:t>Copy Trading</w:t>
            </w:r>
          </w:p>
        </w:tc>
        <w:tc>
          <w:tcPr>
            <w:tcW w:type="dxa" w:w="3210"/>
            <w:tcMar>
              <w:top w:w="120" w:type="dxa"/>
              <w:start w:w="120" w:type="dxa"/>
              <w:bottom w:w="120" w:type="dxa"/>
              <w:end w:w="120" w:type="dxa"/>
            </w:tcMar>
            <w:vAlign w:val="center"/>
          </w:tcPr>
          <w:p>
            <w:pPr>
              <w:spacing w:after="100"/>
            </w:pPr>
            <w:r>
              <w:rPr>
                <w:rFonts w:ascii="Arial" w:hAnsi="Arial"/>
                <w:sz w:val="20"/>
              </w:rPr>
              <w:t>Testing has been carried out for the available trading journeys across the supported platforms.</w:t>
            </w:r>
          </w:p>
        </w:tc>
      </w:tr>
    </w:tbl>
    <w:p>
      <w:r>
        <w:br w:type="page"/>
      </w:r>
    </w:p>
    <w:p>
      <w:pPr>
        <w:pStyle w:val="H1"/>
      </w:pPr>
      <w:r>
        <w:t>Testing Coverage</w:t>
      </w:r>
    </w:p>
    <w:tbl>
      <w:tblPr>
        <w:tblW w:type="dxa" w:w="9360"/>
        <w:jc w:val="center"/>
        <w:tblLayout w:type="fixed"/>
        <w:tblLook w:firstColumn="1" w:firstRow="1" w:lastColumn="0" w:lastRow="0" w:noHBand="0" w:noVBand="1" w:val="04A0"/>
      </w:tblPr>
      <w:tblGrid>
        <w:gridCol w:w="6150"/>
        <w:gridCol w:w="3210"/>
      </w:tblGrid>
      <w:tr>
        <w:trPr>
          <w:tblHeader w:val="true"/>
        </w:trPr>
        <w:tc>
          <w:tcPr>
            <w:tcW w:type="dxa" w:w="6150"/>
            <w:shd w:fill="A6A6A6"/>
            <w:tcMar>
              <w:top w:w="120" w:type="dxa"/>
              <w:start w:w="120" w:type="dxa"/>
              <w:bottom w:w="120" w:type="dxa"/>
              <w:end w:w="120" w:type="dxa"/>
            </w:tcMar>
            <w:vAlign w:val="center"/>
          </w:tcPr>
          <w:p>
            <w:pPr>
              <w:spacing w:after="0" w:line="271" w:lineRule="auto"/>
              <w:jc w:val="center"/>
            </w:pPr>
            <w:r>
              <w:rPr>
                <w:rFonts w:ascii="Arial" w:hAnsi="Arial"/>
                <w:b/>
                <w:sz w:val="20"/>
              </w:rPr>
              <w:t>Testing Area</w:t>
            </w:r>
          </w:p>
        </w:tc>
        <w:tc>
          <w:tcPr>
            <w:tcW w:type="dxa" w:w="3210"/>
            <w:shd w:fill="A6A6A6"/>
            <w:tcMar>
              <w:top w:w="120" w:type="dxa"/>
              <w:start w:w="120" w:type="dxa"/>
              <w:bottom w:w="120" w:type="dxa"/>
              <w:end w:w="120" w:type="dxa"/>
            </w:tcMar>
            <w:vAlign w:val="center"/>
          </w:tcPr>
          <w:p>
            <w:pPr>
              <w:spacing w:after="0" w:line="271" w:lineRule="auto"/>
              <w:jc w:val="center"/>
            </w:pPr>
            <w:r>
              <w:rPr>
                <w:rFonts w:ascii="Arial" w:hAnsi="Arial"/>
                <w:b/>
                <w:sz w:val="20"/>
              </w:rPr>
              <w:t>Status</w:t>
            </w:r>
          </w:p>
        </w:tc>
      </w:tr>
      <w:tr>
        <w:tc>
          <w:tcPr>
            <w:tcW w:type="dxa" w:w="6150"/>
            <w:tcMar>
              <w:top w:w="120" w:type="dxa"/>
              <w:start w:w="120" w:type="dxa"/>
              <w:bottom w:w="120" w:type="dxa"/>
              <w:end w:w="120" w:type="dxa"/>
            </w:tcMar>
            <w:vAlign w:val="center"/>
          </w:tcPr>
          <w:p>
            <w:pPr>
              <w:spacing w:after="120"/>
            </w:pPr>
            <w:r>
              <w:rPr>
                <w:rFonts w:ascii="Arial" w:hAnsi="Arial"/>
                <w:color w:val="5A5A5A"/>
                <w:sz w:val="22"/>
                <w:u w:val="single"/>
              </w:rPr>
              <w:t>User experience and account management</w:t>
            </w:r>
          </w:p>
          <w:p>
            <w:pPr>
              <w:pStyle w:val="ListBullet"/>
              <w:spacing w:after="40" w:line="259" w:lineRule="auto"/>
            </w:pPr>
            <w:r>
              <w:rPr>
                <w:rFonts w:ascii="Arial" w:hAnsi="Arial"/>
                <w:sz w:val="19"/>
              </w:rPr>
              <w:t>Referral &amp; Rewards</w:t>
            </w:r>
          </w:p>
          <w:p>
            <w:pPr>
              <w:pStyle w:val="ListBullet"/>
              <w:spacing w:after="40" w:line="259" w:lineRule="auto"/>
            </w:pPr>
            <w:r>
              <w:rPr>
                <w:rFonts w:ascii="Arial" w:hAnsi="Arial"/>
                <w:sz w:val="19"/>
              </w:rPr>
              <w:t>Profile &amp; Settings</w:t>
            </w:r>
          </w:p>
          <w:p>
            <w:pPr>
              <w:pStyle w:val="ListBullet"/>
              <w:spacing w:after="40" w:line="259" w:lineRule="auto"/>
            </w:pPr>
            <w:r>
              <w:rPr>
                <w:rFonts w:ascii="Arial" w:hAnsi="Arial"/>
                <w:sz w:val="19"/>
              </w:rPr>
              <w:t>Mobile App</w:t>
            </w:r>
          </w:p>
        </w:tc>
        <w:tc>
          <w:tcPr>
            <w:tcW w:type="dxa" w:w="3210"/>
            <w:tcMar>
              <w:top w:w="120" w:type="dxa"/>
              <w:start w:w="120" w:type="dxa"/>
              <w:bottom w:w="120" w:type="dxa"/>
              <w:end w:w="120" w:type="dxa"/>
            </w:tcMar>
            <w:vAlign w:val="center"/>
          </w:tcPr>
          <w:p>
            <w:pPr>
              <w:spacing w:after="100"/>
            </w:pPr>
            <w:r>
              <w:rPr>
                <w:rFonts w:ascii="Arial" w:hAnsi="Arial"/>
                <w:sz w:val="20"/>
              </w:rPr>
              <w:t>Testing has been carried out for the available user and app flows.</w:t>
            </w:r>
          </w:p>
        </w:tc>
      </w:tr>
      <w:tr>
        <w:tc>
          <w:tcPr>
            <w:tcW w:type="dxa" w:w="6150"/>
            <w:tcMar>
              <w:top w:w="120" w:type="dxa"/>
              <w:start w:w="120" w:type="dxa"/>
              <w:bottom w:w="120" w:type="dxa"/>
              <w:end w:w="120" w:type="dxa"/>
            </w:tcMar>
            <w:vAlign w:val="center"/>
          </w:tcPr>
          <w:p>
            <w:pPr>
              <w:spacing w:after="120"/>
            </w:pPr>
            <w:r>
              <w:rPr>
                <w:rFonts w:ascii="Arial" w:hAnsi="Arial"/>
                <w:color w:val="5A5A5A"/>
                <w:sz w:val="22"/>
                <w:u w:val="single"/>
              </w:rPr>
              <w:t>Web and regression coverage</w:t>
            </w:r>
          </w:p>
          <w:p>
            <w:pPr>
              <w:pStyle w:val="ListBullet"/>
              <w:spacing w:after="40" w:line="259" w:lineRule="auto"/>
            </w:pPr>
            <w:r>
              <w:rPr>
                <w:rFonts w:ascii="Arial" w:hAnsi="Arial"/>
                <w:sz w:val="19"/>
              </w:rPr>
              <w:t>Cross-Browser</w:t>
            </w:r>
          </w:p>
          <w:p>
            <w:pPr>
              <w:pStyle w:val="ListBullet"/>
              <w:spacing w:after="40" w:line="259" w:lineRule="auto"/>
            </w:pPr>
            <w:r>
              <w:rPr>
                <w:rFonts w:ascii="Arial" w:hAnsi="Arial"/>
                <w:sz w:val="19"/>
              </w:rPr>
              <w:t>Dashboard</w:t>
            </w:r>
          </w:p>
          <w:p>
            <w:pPr>
              <w:pStyle w:val="ListBullet"/>
              <w:spacing w:after="40" w:line="259" w:lineRule="auto"/>
            </w:pPr>
            <w:r>
              <w:rPr>
                <w:rFonts w:ascii="Arial" w:hAnsi="Arial"/>
                <w:sz w:val="19"/>
              </w:rPr>
              <w:t>Edge &amp; Regression</w:t>
            </w:r>
          </w:p>
        </w:tc>
        <w:tc>
          <w:tcPr>
            <w:tcW w:type="dxa" w:w="3210"/>
            <w:tcMar>
              <w:top w:w="120" w:type="dxa"/>
              <w:start w:w="120" w:type="dxa"/>
              <w:bottom w:w="120" w:type="dxa"/>
              <w:end w:w="120" w:type="dxa"/>
            </w:tcMar>
            <w:vAlign w:val="center"/>
          </w:tcPr>
          <w:p>
            <w:pPr>
              <w:spacing w:after="100"/>
            </w:pPr>
            <w:r>
              <w:rPr>
                <w:rFonts w:ascii="Arial" w:hAnsi="Arial"/>
                <w:sz w:val="20"/>
              </w:rPr>
              <w:t>Testing has been carried out for the available web, dashboard, and regression scenarios.</w:t>
            </w:r>
          </w:p>
        </w:tc>
      </w:tr>
      <w:tr>
        <w:tc>
          <w:tcPr>
            <w:tcW w:type="dxa" w:w="6150"/>
            <w:tcMar>
              <w:top w:w="120" w:type="dxa"/>
              <w:start w:w="120" w:type="dxa"/>
              <w:bottom w:w="120" w:type="dxa"/>
              <w:end w:w="120" w:type="dxa"/>
            </w:tcMar>
            <w:vAlign w:val="center"/>
          </w:tcPr>
          <w:p>
            <w:pPr>
              <w:spacing w:after="120"/>
            </w:pPr>
            <w:r>
              <w:rPr>
                <w:rFonts w:ascii="Arial" w:hAnsi="Arial"/>
                <w:color w:val="5A5A5A"/>
                <w:sz w:val="22"/>
                <w:u w:val="single"/>
              </w:rPr>
              <w:t>Other planned areas</w:t>
            </w:r>
          </w:p>
          <w:p>
            <w:pPr>
              <w:pStyle w:val="ListBullet"/>
              <w:spacing w:after="40" w:line="259" w:lineRule="auto"/>
            </w:pPr>
            <w:r>
              <w:rPr>
                <w:rFonts w:ascii="Arial" w:hAnsi="Arial"/>
                <w:sz w:val="19"/>
              </w:rPr>
              <w:t>Notifications</w:t>
            </w:r>
          </w:p>
          <w:p>
            <w:pPr>
              <w:pStyle w:val="ListBullet"/>
              <w:spacing w:after="40" w:line="259" w:lineRule="auto"/>
            </w:pPr>
            <w:r>
              <w:rPr>
                <w:rFonts w:ascii="Arial" w:hAnsi="Arial"/>
                <w:sz w:val="19"/>
              </w:rPr>
              <w:t>Security</w:t>
            </w:r>
          </w:p>
          <w:p>
            <w:pPr>
              <w:pStyle w:val="ListBullet"/>
              <w:spacing w:after="40" w:line="259" w:lineRule="auto"/>
            </w:pPr>
            <w:r>
              <w:rPr>
                <w:rFonts w:ascii="Arial" w:hAnsi="Arial"/>
                <w:sz w:val="19"/>
              </w:rPr>
              <w:t>Performance</w:t>
            </w:r>
          </w:p>
        </w:tc>
        <w:tc>
          <w:tcPr>
            <w:tcW w:type="dxa" w:w="3210"/>
            <w:tcMar>
              <w:top w:w="120" w:type="dxa"/>
              <w:start w:w="120" w:type="dxa"/>
              <w:bottom w:w="120" w:type="dxa"/>
              <w:end w:w="120" w:type="dxa"/>
            </w:tcMar>
            <w:vAlign w:val="center"/>
          </w:tcPr>
          <w:p>
            <w:pPr>
              <w:spacing w:after="100"/>
            </w:pPr>
            <w:r>
              <w:rPr>
                <w:rFonts w:ascii="Arial" w:hAnsi="Arial"/>
                <w:sz w:val="20"/>
              </w:rPr>
              <w:t>These areas remain part of the testing plan. Their latest progress and any observations are being updated in the UAT sheet.</w:t>
            </w:r>
          </w:p>
        </w:tc>
      </w:tr>
    </w:tbl>
    <w:p>
      <w:pPr>
        <w:pStyle w:val="H1"/>
      </w:pPr>
      <w:r>
        <w:t>Testing Update</w:t>
      </w:r>
    </w:p>
    <w:p>
      <w:r>
        <w:t>Testing is continuing on the latest available builds. The team is checking the current user journeys on Web, Android, and iOS wherever the required build and test access are available.</w:t>
      </w:r>
    </w:p>
    <w:p>
      <w:pPr>
        <w:pStyle w:val="ListBullet"/>
        <w:spacing w:after="100" w:line="276" w:lineRule="auto"/>
      </w:pPr>
      <w:r>
        <w:t>Test cases are being executed according to the testing INDEX.</w:t>
      </w:r>
    </w:p>
    <w:p>
      <w:pPr>
        <w:pStyle w:val="ListBullet"/>
        <w:spacing w:after="100" w:line="276" w:lineRule="auto"/>
      </w:pPr>
      <w:r>
        <w:t>New bugs and observations are being logged directly in the UAT sheet.</w:t>
      </w:r>
    </w:p>
    <w:p>
      <w:pPr>
        <w:pStyle w:val="ListBullet"/>
        <w:spacing w:after="100" w:line="276" w:lineRule="auto"/>
      </w:pPr>
      <w:r>
        <w:t>Screenshots, videos, and retest evidence are added to the UAT sheet when available.</w:t>
      </w:r>
    </w:p>
    <w:p>
      <w:pPr>
        <w:pStyle w:val="ListBullet"/>
        <w:spacing w:after="100" w:line="276" w:lineRule="auto"/>
      </w:pPr>
      <w:r>
        <w:t>Older issue lists and previous issue counts are not used in this report.</w:t>
      </w:r>
    </w:p>
    <w:p>
      <w:r>
        <w:br w:type="page"/>
      </w:r>
    </w:p>
    <w:p>
      <w:pPr>
        <w:pStyle w:val="H1"/>
      </w:pPr>
      <w:r>
        <w:t>UAT Sheet and Next Steps</w:t>
      </w:r>
    </w:p>
    <w:p>
      <w:r>
        <w:t>The UAT sheet is the live record for the current testing cycle. It should be used for every new bug, test update, evidence link, fix confirmation, and retest result.</w:t>
      </w:r>
    </w:p>
    <w:tbl>
      <w:tblPr>
        <w:tblW w:type="dxa" w:w="9360"/>
        <w:jc w:val="center"/>
        <w:tblLayout w:type="fixed"/>
        <w:tblLook w:firstColumn="1" w:firstRow="1" w:lastColumn="0" w:lastRow="0" w:noHBand="0" w:noVBand="1" w:val="04A0"/>
      </w:tblPr>
      <w:tblGrid>
        <w:gridCol w:w="6150"/>
        <w:gridCol w:w="3210"/>
      </w:tblGrid>
      <w:tr>
        <w:trPr>
          <w:tblHeader w:val="true"/>
        </w:trPr>
        <w:tc>
          <w:tcPr>
            <w:tcW w:type="dxa" w:w="6150"/>
            <w:shd w:fill="A6A6A6"/>
            <w:tcMar>
              <w:top w:w="120" w:type="dxa"/>
              <w:start w:w="120" w:type="dxa"/>
              <w:bottom w:w="120" w:type="dxa"/>
              <w:end w:w="120" w:type="dxa"/>
            </w:tcMar>
            <w:vAlign w:val="center"/>
          </w:tcPr>
          <w:p>
            <w:pPr>
              <w:spacing w:after="0" w:line="271" w:lineRule="auto"/>
              <w:jc w:val="center"/>
            </w:pPr>
            <w:r>
              <w:rPr>
                <w:rFonts w:ascii="Arial" w:hAnsi="Arial"/>
                <w:b/>
                <w:sz w:val="20"/>
              </w:rPr>
              <w:t>Activity</w:t>
            </w:r>
          </w:p>
        </w:tc>
        <w:tc>
          <w:tcPr>
            <w:tcW w:type="dxa" w:w="3210"/>
            <w:shd w:fill="A6A6A6"/>
            <w:tcMar>
              <w:top w:w="120" w:type="dxa"/>
              <w:start w:w="120" w:type="dxa"/>
              <w:bottom w:w="120" w:type="dxa"/>
              <w:end w:w="120" w:type="dxa"/>
            </w:tcMar>
            <w:vAlign w:val="center"/>
          </w:tcPr>
          <w:p>
            <w:pPr>
              <w:spacing w:after="0" w:line="271" w:lineRule="auto"/>
              <w:jc w:val="center"/>
            </w:pPr>
            <w:r>
              <w:rPr>
                <w:rFonts w:ascii="Arial" w:hAnsi="Arial"/>
                <w:b/>
                <w:sz w:val="20"/>
              </w:rPr>
              <w:t>Next Step</w:t>
            </w:r>
          </w:p>
        </w:tc>
      </w:tr>
      <w:tr>
        <w:tc>
          <w:tcPr>
            <w:tcW w:type="dxa" w:w="6150"/>
            <w:tcMar>
              <w:top w:w="120" w:type="dxa"/>
              <w:start w:w="120" w:type="dxa"/>
              <w:bottom w:w="120" w:type="dxa"/>
              <w:end w:w="120" w:type="dxa"/>
            </w:tcMar>
            <w:vAlign w:val="center"/>
          </w:tcPr>
          <w:p>
            <w:pPr>
              <w:spacing w:after="0" w:line="271" w:lineRule="auto"/>
            </w:pPr>
            <w:r>
              <w:rPr>
                <w:rFonts w:ascii="Arial" w:hAnsi="Arial"/>
                <w:b/>
                <w:sz w:val="19"/>
              </w:rPr>
              <w:t>Current testing</w:t>
            </w:r>
          </w:p>
        </w:tc>
        <w:tc>
          <w:tcPr>
            <w:tcW w:type="dxa" w:w="3210"/>
            <w:tcMar>
              <w:top w:w="120" w:type="dxa"/>
              <w:start w:w="120" w:type="dxa"/>
              <w:bottom w:w="120" w:type="dxa"/>
              <w:end w:w="120" w:type="dxa"/>
            </w:tcMar>
            <w:vAlign w:val="center"/>
          </w:tcPr>
          <w:p>
            <w:pPr>
              <w:spacing w:after="0" w:line="271" w:lineRule="auto"/>
            </w:pPr>
            <w:r>
              <w:rPr>
                <w:rFonts w:ascii="Arial" w:hAnsi="Arial"/>
                <w:b w:val="0"/>
                <w:sz w:val="19"/>
              </w:rPr>
              <w:t>Continue validating the latest Web, Android, and iOS builds.</w:t>
            </w:r>
          </w:p>
        </w:tc>
      </w:tr>
      <w:tr>
        <w:tc>
          <w:tcPr>
            <w:tcW w:type="dxa" w:w="6150"/>
            <w:tcMar>
              <w:top w:w="120" w:type="dxa"/>
              <w:start w:w="120" w:type="dxa"/>
              <w:bottom w:w="120" w:type="dxa"/>
              <w:end w:w="120" w:type="dxa"/>
            </w:tcMar>
            <w:vAlign w:val="center"/>
          </w:tcPr>
          <w:p>
            <w:pPr>
              <w:spacing w:after="0" w:line="271" w:lineRule="auto"/>
            </w:pPr>
            <w:r>
              <w:rPr>
                <w:rFonts w:ascii="Arial" w:hAnsi="Arial"/>
                <w:b/>
                <w:sz w:val="19"/>
              </w:rPr>
              <w:t>New findings</w:t>
            </w:r>
          </w:p>
        </w:tc>
        <w:tc>
          <w:tcPr>
            <w:tcW w:type="dxa" w:w="3210"/>
            <w:tcMar>
              <w:top w:w="120" w:type="dxa"/>
              <w:start w:w="120" w:type="dxa"/>
              <w:bottom w:w="120" w:type="dxa"/>
              <w:end w:w="120" w:type="dxa"/>
            </w:tcMar>
            <w:vAlign w:val="center"/>
          </w:tcPr>
          <w:p>
            <w:pPr>
              <w:spacing w:after="0" w:line="271" w:lineRule="auto"/>
            </w:pPr>
            <w:r>
              <w:rPr>
                <w:rFonts w:ascii="Arial" w:hAnsi="Arial"/>
                <w:b w:val="0"/>
                <w:sz w:val="19"/>
              </w:rPr>
              <w:t>Add each new observation to the UAT sheet with clear steps and evidence.</w:t>
            </w:r>
          </w:p>
        </w:tc>
      </w:tr>
      <w:tr>
        <w:tc>
          <w:tcPr>
            <w:tcW w:type="dxa" w:w="6150"/>
            <w:tcMar>
              <w:top w:w="120" w:type="dxa"/>
              <w:start w:w="120" w:type="dxa"/>
              <w:bottom w:w="120" w:type="dxa"/>
              <w:end w:w="120" w:type="dxa"/>
            </w:tcMar>
            <w:vAlign w:val="center"/>
          </w:tcPr>
          <w:p>
            <w:pPr>
              <w:spacing w:after="0" w:line="271" w:lineRule="auto"/>
            </w:pPr>
            <w:r>
              <w:rPr>
                <w:rFonts w:ascii="Arial" w:hAnsi="Arial"/>
                <w:b/>
                <w:sz w:val="19"/>
              </w:rPr>
              <w:t>Fix verification</w:t>
            </w:r>
          </w:p>
        </w:tc>
        <w:tc>
          <w:tcPr>
            <w:tcW w:type="dxa" w:w="3210"/>
            <w:tcMar>
              <w:top w:w="120" w:type="dxa"/>
              <w:start w:w="120" w:type="dxa"/>
              <w:bottom w:w="120" w:type="dxa"/>
              <w:end w:w="120" w:type="dxa"/>
            </w:tcMar>
            <w:vAlign w:val="center"/>
          </w:tcPr>
          <w:p>
            <w:pPr>
              <w:spacing w:after="0" w:line="271" w:lineRule="auto"/>
            </w:pPr>
            <w:r>
              <w:rPr>
                <w:rFonts w:ascii="Arial" w:hAnsi="Arial"/>
                <w:b w:val="0"/>
                <w:sz w:val="19"/>
              </w:rPr>
              <w:t>Retest the relevant flow when an updated build is shared.</w:t>
            </w:r>
          </w:p>
        </w:tc>
      </w:tr>
      <w:tr>
        <w:tc>
          <w:tcPr>
            <w:tcW w:type="dxa" w:w="6150"/>
            <w:tcMar>
              <w:top w:w="120" w:type="dxa"/>
              <w:start w:w="120" w:type="dxa"/>
              <w:bottom w:w="120" w:type="dxa"/>
              <w:end w:w="120" w:type="dxa"/>
            </w:tcMar>
            <w:vAlign w:val="center"/>
          </w:tcPr>
          <w:p>
            <w:pPr>
              <w:spacing w:after="0" w:line="271" w:lineRule="auto"/>
            </w:pPr>
            <w:r>
              <w:rPr>
                <w:rFonts w:ascii="Arial" w:hAnsi="Arial"/>
                <w:b/>
                <w:sz w:val="19"/>
              </w:rPr>
              <w:t>Final closure report</w:t>
            </w:r>
          </w:p>
        </w:tc>
        <w:tc>
          <w:tcPr>
            <w:tcW w:type="dxa" w:w="3210"/>
            <w:tcMar>
              <w:top w:w="120" w:type="dxa"/>
              <w:start w:w="120" w:type="dxa"/>
              <w:bottom w:w="120" w:type="dxa"/>
              <w:end w:w="120" w:type="dxa"/>
            </w:tcMar>
            <w:vAlign w:val="center"/>
          </w:tcPr>
          <w:p>
            <w:pPr>
              <w:spacing w:after="0" w:line="271" w:lineRule="auto"/>
            </w:pPr>
            <w:r>
              <w:rPr>
                <w:rFonts w:ascii="Arial" w:hAnsi="Arial"/>
                <w:b w:val="0"/>
                <w:sz w:val="19"/>
              </w:rPr>
              <w:t>Prepare the final report after the UAT sheet is updated and retesting is complete.</w:t>
            </w:r>
          </w:p>
        </w:tc>
      </w:tr>
    </w:tbl>
    <w:p>
      <w:pPr>
        <w:pStyle w:val="H1"/>
      </w:pPr>
      <w:r>
        <w:t>Note</w:t>
      </w:r>
    </w:p>
    <w:p>
      <w:r>
        <w:rPr>
          <w:b/>
        </w:rPr>
        <w:t>This report does not include historical issue data or old findings. It is a simple testing-coverage update based on the testing INDEX and the current UAT process.</w:t>
      </w:r>
    </w:p>
    <w:sectPr w:rsidR="00FC693F" w:rsidRPr="0006063C" w:rsidSect="00034616">
      <w:headerReference w:type="default" r:id="rId10"/>
      <w:type w:val="nextPage"/>
      <w:pgSz w:w="11909" w:h="16834"/>
      <w:pgMar w:top="1037" w:right="1037" w:bottom="1037" w:left="1037"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index-cover.png"/>
                  <pic:cNvPicPr/>
                </pic:nvPicPr>
                <pic:blipFill>
                  <a:blip r:embed="rId1"/>
                  <a:stretch>
                    <a:fillRect/>
                  </a:stretch>
                </pic:blipFill>
                <pic:spPr>
                  <a:xfrm>
                    <a:off x="0" y="0"/>
                    <a:ext cx="7562088" cy="1068933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
    <w:name w:val="H1"/>
    <w:pPr>
      <w:keepNext/>
      <w:spacing w:before="120" w:after="200"/>
    </w:pPr>
    <w:rPr>
      <w:rFonts w:ascii="Arial" w:hAnsi="Arial"/>
      <w:b/>
      <w:color w:val="000000"/>
      <w:sz w:val="42"/>
    </w:rPr>
  </w:style>
  <w:style w:type="paragraph" w:customStyle="1" w:styleId="H2">
    <w:name w:val="H2"/>
    <w:pPr>
      <w:keepNext/>
      <w:spacing w:before="240" w:after="120"/>
    </w:pPr>
    <w:rPr>
      <w:rFonts w:ascii="Arial" w:hAnsi="Arial"/>
      <w:b/>
      <w:color w:val="000000"/>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