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Harbourview Residential Care — Case study: complaint about night call bell response</w:t>
      </w:r>
    </w:p>
    <w:p>
      <w:r>
        <w:t>SAMPLE — fictional document for demonstration</w:t>
      </w:r>
    </w:p>
    <w:p>
      <w:pPr>
        <w:pStyle w:val="Heading1"/>
      </w:pPr>
      <w:r>
        <w:t>Incident summary</w:t>
      </w:r>
    </w:p>
    <w:p>
      <w:r>
        <w:t>The complaint was received on 17 September 2026 at 9:05am, when the daughter of a resident in Cedar wing telephoned to say that her mother had waited more than forty minutes for a call bell to be answered on two consecutive nights.</w:t>
      </w:r>
    </w:p>
    <w:p>
      <w:pPr>
        <w:pStyle w:val="Heading1"/>
      </w:pPr>
      <w:r>
        <w:t>Acknowledgement and triage</w:t>
      </w:r>
    </w:p>
    <w:p>
      <w:r>
        <w:t>The complaint was logged in the complaints register at 9:20am and acknowledged in writing to the complainant at 2:40pm the same day.</w:t>
      </w:r>
    </w:p>
    <w:p>
      <w:r>
        <w:t>A risk screen for abuse and neglect was completed on receipt and recorded in the triage record. The complaint was assessed as Tier 2 and allocated to the Head of Consumer Experience.</w:t>
      </w:r>
    </w:p>
    <w:p>
      <w:pPr>
        <w:pStyle w:val="Heading1"/>
      </w:pPr>
      <w:r>
        <w:t>Support to complain</w:t>
      </w:r>
    </w:p>
    <w:p>
      <w:r>
        <w:t>The complainant was told in the acknowledgement letter that she may complain to the Aged Care Quality and Safety Commission at any time, and that doing so would not affect her mother's care. An accredited interpreter was offered and declined.</w:t>
      </w:r>
    </w:p>
    <w:p>
      <w:pPr>
        <w:pStyle w:val="Heading1"/>
      </w:pPr>
      <w:r>
        <w:t>Handling and communication</w:t>
      </w:r>
    </w:p>
    <w:p>
      <w:r>
        <w:t>The complainant was given a named contact and was updated by telephone on 21 and 25 September 2026. Call bell response data for Cedar wing for the preceding fortnight was extracted and reviewed with the night roster.</w:t>
      </w:r>
    </w:p>
    <w:p>
      <w:pPr>
        <w:pStyle w:val="Heading1"/>
      </w:pPr>
      <w:r>
        <w:t>Outcome</w:t>
      </w:r>
    </w:p>
    <w:p>
      <w:r>
        <w:t>A written outcome was sent on 29 September 2026, within the Tier 2 timeframe. It set out what was found, what would change — an additional night-shift care worker in Cedar wing from 5 October 2026 — and the complainant's right to seek an internal review within 30 days or to complain externally.</w:t>
      </w:r>
    </w:p>
    <w:p>
      <w:pPr>
        <w:pStyle w:val="Heading1"/>
      </w:pPr>
      <w:r>
        <w:t>Learning from the complaint</w:t>
      </w:r>
    </w:p>
    <w:p>
      <w:r>
        <w:t>The complaint was coded to “responsiveness of staff” in the complaints register and included in the monthly trend analysis. The rostering change was entered in the continuous improvement register and published in the October resident newsletter.</w:t>
      </w:r>
    </w:p>
    <w:p>
      <w:pPr>
        <w:pStyle w:val="Heading1"/>
      </w:pPr>
      <w:r>
        <w:t>Outstanding at the time of writing</w:t>
      </w:r>
    </w:p>
    <w:p>
      <w:r>
        <w:t>The Consumer Advisory Body has not yet reviewed the de-identified complaint; its next meeting is in October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