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Harbourview Residential Care — Case study: anonymous complaint about worker conduct</w:t>
      </w:r>
    </w:p>
    <w:p>
      <w:r>
        <w:t>SAMPLE — fictional document for demonstration</w:t>
      </w:r>
    </w:p>
    <w:p>
      <w:pPr>
        <w:pStyle w:val="Heading1"/>
      </w:pPr>
      <w:r>
        <w:t>Incident summary</w:t>
      </w:r>
    </w:p>
    <w:p>
      <w:r>
        <w:t>The complaint was received on 8 September 2026 at 2:30pm, in an unsigned note placed in the feedback box at the main entrance. The note alleged that a care worker spoke roughly to residents in Fig wing during the evening shift and that one resident had been left in a chair after asking to go to bed.</w:t>
      </w:r>
    </w:p>
    <w:p>
      <w:pPr>
        <w:pStyle w:val="Heading1"/>
      </w:pPr>
      <w:r>
        <w:t>Acknowledgement and triage</w:t>
      </w:r>
    </w:p>
    <w:p>
      <w:r>
        <w:t>The note was passed to the Head of Consumer Experience and entered in the complaints register on 12 September 2026, four days after it was received.</w:t>
      </w:r>
    </w:p>
    <w:p>
      <w:r>
        <w:t>The triage record contains no risk screen for abuse and neglect. The complaint was recorded as “feedback — no action possible, anonymous”.</w:t>
      </w:r>
    </w:p>
    <w:p>
      <w:pPr>
        <w:pStyle w:val="Heading1"/>
      </w:pPr>
      <w:r>
        <w:t>Handling</w:t>
      </w:r>
    </w:p>
    <w:p>
      <w:r>
        <w:t>No investigation of the allegation was commenced. The register entry states that the complaint could not be progressed because the complainant could not be contacted.</w:t>
      </w:r>
    </w:p>
    <w:p>
      <w:r>
        <w:t>On 15 September 2026 a resident in Fig wing raised the same concern verbally with a care worker. The discussion was held through the resident's son, who interpreted, because no accredited interpreter was arranged. The discussion was not repeated with an accredited interpreter.</w:t>
      </w:r>
    </w:p>
    <w:p>
      <w:pPr>
        <w:pStyle w:val="Heading1"/>
      </w:pPr>
      <w:r>
        <w:t>Outcome and communication</w:t>
      </w:r>
    </w:p>
    <w:p>
      <w:r>
        <w:t>No written outcome was produced. The resident who raised the concern verbally was told the matter “would be looked at” and received nothing further.</w:t>
      </w:r>
    </w:p>
    <w:p>
      <w:r>
        <w:t>The resident was not told that she may complain to the Aged Care Quality and Safety Commission, and no internal review was offered.</w:t>
      </w:r>
    </w:p>
    <w:p>
      <w:pPr>
        <w:pStyle w:val="Heading1"/>
      </w:pPr>
      <w:r>
        <w:t>Records and learning</w:t>
      </w:r>
    </w:p>
    <w:p>
      <w:r>
        <w:t>The complaint is not coded to a category in the complaints register and does not appear in the September trend analysis. Nothing has been entered in the continuous improvement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