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Kanangra Court Aged Care — Case study: missed anticoagulant dose, Resident P</w:t>
      </w:r>
    </w:p>
    <w:p>
      <w:r>
        <w:t>SAMPLE — fictional document for demonstration</w:t>
      </w:r>
    </w:p>
    <w:p>
      <w:pPr>
        <w:pStyle w:val="Heading1"/>
      </w:pPr>
      <w:r>
        <w:t>Incident summary</w:t>
      </w:r>
    </w:p>
    <w:p>
      <w:r>
        <w:t>The medication error occurred on 19 September 2026 at 8:15am. Resident P's morning anticoagulant dose was not administered during the morning round; the omission was identified at the second-check reconciliation at 8:15am by the registered nurse completing the round.</w:t>
      </w:r>
    </w:p>
    <w:p>
      <w:pPr>
        <w:pStyle w:val="Heading1"/>
      </w:pPr>
      <w:r>
        <w:t>Immediate response</w:t>
      </w:r>
    </w:p>
    <w:p>
      <w:r>
        <w:t>The registered nurse assessed Resident P at 8:20am, recorded observations and checked for signs of bleeding or clotting. The assessment was entered in the clinical record at 8:35am.</w:t>
      </w:r>
    </w:p>
    <w:p>
      <w:r>
        <w:t>The prescriber was telephoned at 8:40am and gave a verbal order to administer the dose late, with an instruction to monitor INR the following morning. The verbal order was taken by a registered nurse, read back, and entered on the chart with the time and both names.</w:t>
      </w:r>
    </w:p>
    <w:p>
      <w:r>
        <w:t>The written confirmation of the verbal order was received from the prescriber and filed on 19 September 2026 at 4:50pm, and the prescriber signed the chart the same afternoon.</w:t>
      </w:r>
    </w:p>
    <w:p>
      <w:pPr>
        <w:pStyle w:val="Heading1"/>
      </w:pPr>
      <w:r>
        <w:t>Recording the incident</w:t>
      </w:r>
    </w:p>
    <w:p>
      <w:r>
        <w:t>The medication incident was recorded in the incident system at 9:05am on 19 September 2026, identifying the medicine, the resident, the round, the staff member and the contributing factor — an interrupted round caused by a call bell in an adjoining room.</w:t>
      </w:r>
    </w:p>
    <w:p>
      <w:pPr>
        <w:pStyle w:val="Heading1"/>
      </w:pPr>
      <w:r>
        <w:t>Notification and disclosure</w:t>
      </w:r>
    </w:p>
    <w:p>
      <w:r>
        <w:t>The Director of Nursing was notified at 8:45am. Resident P's nominated representative was telephoned at 10:15am and told what had happened and what was being monitored.</w:t>
      </w:r>
    </w:p>
    <w:p>
      <w:pPr>
        <w:pStyle w:val="Heading1"/>
      </w:pPr>
      <w:r>
        <w:t>Review</w:t>
      </w:r>
    </w:p>
    <w:p>
      <w:r>
        <w:t>A Residential Medication Management Review referral was made for Resident P on 22 September 2026. Resident P is not prescribed a psychotropic medicine and no chemical restraint question arises.</w:t>
      </w:r>
    </w:p>
    <w:p>
      <w:r>
        <w:t>Schedule 8 medicines were not involved in this incident; the Schedule 8 register count at the shift change on 19 September 2026 was completed and signed by two registered nurses with no discrepancy.</w:t>
      </w:r>
    </w:p>
    <w:p>
      <w:pPr>
        <w:pStyle w:val="Heading1"/>
      </w:pPr>
      <w:r>
        <w:t>Outstanding at the time of writing</w:t>
      </w:r>
    </w:p>
    <w:p>
      <w:r>
        <w:t>The competency reassessment of the registered nurse involved has been requested but not yet scheduled. The monthly medication administration audit for September has not yet been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