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Kanangra Court Aged Care — Case study: wrong-resident administration, Wing C</w:t>
      </w:r>
    </w:p>
    <w:p>
      <w:r>
        <w:t>SAMPLE — fictional document for demonstration</w:t>
      </w:r>
    </w:p>
    <w:p>
      <w:pPr>
        <w:pStyle w:val="Heading1"/>
      </w:pPr>
      <w:r>
        <w:t>Incident summary</w:t>
      </w:r>
    </w:p>
    <w:p>
      <w:r>
        <w:t>The medication error occurred on 16 September 2026 at 5:40pm. A resident in Wing C was administered an evening dose charted for a different resident with a similar surname. The error was identified by a second registered nurse at 6:10pm during the following administration.</w:t>
      </w:r>
    </w:p>
    <w:p>
      <w:pPr>
        <w:pStyle w:val="Heading1"/>
      </w:pPr>
      <w:r>
        <w:t>Immediate response</w:t>
      </w:r>
    </w:p>
    <w:p>
      <w:r>
        <w:t>The resident was observed at the nurses' station for the remainder of the evening. No clinical assessment was documented and no observations were recorded in the clinical record.</w:t>
      </w:r>
    </w:p>
    <w:p>
      <w:r>
        <w:t>The prescriber was not contacted on 16 September. A note on the handover sheet records an intention to “raise it at the next visit”.</w:t>
      </w:r>
    </w:p>
    <w:p>
      <w:pPr>
        <w:pStyle w:val="Heading1"/>
      </w:pPr>
      <w:r>
        <w:t>Charting and orders</w:t>
      </w:r>
    </w:p>
    <w:p>
      <w:r>
        <w:t>A verbal order taken on 14 September 2026 for the same resident remained unsigned by the prescriber at the time of writing, two days beyond the point at which the Director of Nursing is to be notified. The medicine continued to be administered.</w:t>
      </w:r>
    </w:p>
    <w:p>
      <w:r>
        <w:t>Two entries on the resident's chart record no indication for the medicine charted.</w:t>
      </w:r>
    </w:p>
    <w:p>
      <w:pPr>
        <w:pStyle w:val="Heading1"/>
      </w:pPr>
      <w:r>
        <w:t>Schedule 8 medicines</w:t>
      </w:r>
    </w:p>
    <w:p>
      <w:r>
        <w:t>The Schedule 8 register count at the shift change on 16 September 2026 showed a discrepancy of one tablet. The discrepancy was written in the register and the count repeated the following morning. It was not reported to the Director of Nursing, and no report has been made to police or to the Commission.</w:t>
      </w:r>
    </w:p>
    <w:p>
      <w:pPr>
        <w:pStyle w:val="Heading1"/>
      </w:pPr>
      <w:r>
        <w:t>Dose forms and covert administration</w:t>
      </w:r>
    </w:p>
    <w:p>
      <w:r>
        <w:t>The resident's evening tablets have been crushed and given in yoghurt since 10 September 2026. The record does not show a pharmacist or prescriber authorisation for altering the dose form, and there is no documented consent or decision-making process for covert administration.</w:t>
      </w:r>
    </w:p>
    <w:p>
      <w:pPr>
        <w:pStyle w:val="Heading1"/>
      </w:pPr>
      <w:r>
        <w:t>Psychotropic medicines</w:t>
      </w:r>
    </w:p>
    <w:p>
      <w:r>
        <w:t>A psychotropic medicine was commenced on 15 September 2026 following a period of calling out at night. The record does not describe any non-pharmacological approaches tried before it was prescribed.</w:t>
      </w:r>
    </w:p>
    <w:p>
      <w:pPr>
        <w:pStyle w:val="Heading1"/>
      </w:pPr>
      <w:r>
        <w:t>Recording and follow-up</w:t>
      </w:r>
    </w:p>
    <w:p>
      <w:r>
        <w:t>The incident was entered in the incident system on 18 September 2026, two days after it occurred. No corrective actions have been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