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Marloo Gardens Aged Care — Case study: emergency physical restraint, Resident B</w:t>
      </w:r>
    </w:p>
    <w:p>
      <w:r>
        <w:t>SAMPLE — fictional document for demonstration</w:t>
      </w:r>
    </w:p>
    <w:p>
      <w:pPr>
        <w:pStyle w:val="Heading1"/>
      </w:pPr>
      <w:r>
        <w:t>Incident summary</w:t>
      </w:r>
    </w:p>
    <w:p>
      <w:r>
        <w:t>The incident occurred on 21 September 2026 at 8:15pm. Resident B, who lives with dementia, attempted to leave the building through a fire exit and physically resisted redirection. Two workers held Resident B's arms for approximately ninety seconds to prevent him from falling down the external stairs.</w:t>
      </w:r>
    </w:p>
    <w:p>
      <w:pPr>
        <w:pStyle w:val="Heading1"/>
      </w:pPr>
      <w:r>
        <w:t>Immediate response</w:t>
      </w:r>
    </w:p>
    <w:p>
      <w:r>
        <w:t>The registered nurse in charge was notified immediately and attended at 8:17pm. Resident B was supported back to the lounge, offered a drink and settled without further intervention.</w:t>
      </w:r>
    </w:p>
    <w:p>
      <w:r>
        <w:t>Resident B's son, his substitute decision-maker, was telephoned at 9:40pm on 21 September 2026 and told what had happened, why, and for how long the hold lasted.</w:t>
      </w:r>
    </w:p>
    <w:p>
      <w:r>
        <w:t>The use was recorded as a reportable incident and notified through the incident process on 21 September 2026 at 10:05pm.</w:t>
      </w:r>
    </w:p>
    <w:p>
      <w:pPr>
        <w:pStyle w:val="Heading1"/>
      </w:pPr>
      <w:r>
        <w:t>Assessment for reversible causes</w:t>
      </w:r>
    </w:p>
    <w:p>
      <w:r>
        <w:t>A registered nurse completed an assessment for reversible causes on 22 September 2026, including a pain assessment using a validated observational tool, a urinalysis and a review of the evening routine. Untreated hip pain was identified and analgesia was charted by the prescriber the same day.</w:t>
      </w:r>
    </w:p>
    <w:p>
      <w:pPr>
        <w:pStyle w:val="Heading1"/>
      </w:pPr>
      <w:r>
        <w:t>Behaviour support planning</w:t>
      </w:r>
    </w:p>
    <w:p>
      <w:r>
        <w:t>Resident B's behaviour support plan was reviewed and updated on 24 September 2026, three days after the emergency use, recording the trigger identified, the alternatives that worked on the night, and the strategies to be used first in future.</w:t>
      </w:r>
    </w:p>
    <w:p>
      <w:pPr>
        <w:pStyle w:val="Heading1"/>
      </w:pPr>
      <w:r>
        <w:t>Authorisation and consent</w:t>
      </w:r>
    </w:p>
    <w:p>
      <w:r>
        <w:t>No ongoing restrictive practice is in use. Informed consent for the updated plan was obtained from Resident B's son and recorded on 24 September 2026, with the alternatives tried and their outcomes set out in the record.</w:t>
      </w:r>
    </w:p>
    <w:p>
      <w:pPr>
        <w:pStyle w:val="Heading1"/>
      </w:pPr>
      <w:r>
        <w:t>Monitoring and review</w:t>
      </w:r>
    </w:p>
    <w:p>
      <w:r>
        <w:t>Observations were recorded during and after the hold, including respiratory rate, skin integrity and distress. A review of the plan is scheduled within three months, on 20 December 2026.</w:t>
      </w:r>
    </w:p>
    <w:p>
      <w:pPr>
        <w:pStyle w:val="Heading1"/>
      </w:pPr>
      <w:r>
        <w:t>Outstanding at the time of writing</w:t>
      </w:r>
    </w:p>
    <w:p>
      <w:r>
        <w:t>The elimination plan has been drafted but not yet endorsed by the Clinical Governance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