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Marloo Gardens Aged Care — Case study: psychotropic commenced after night calling, Resident W</w:t>
      </w:r>
    </w:p>
    <w:p>
      <w:r>
        <w:t>SAMPLE — fictional document for demonstration</w:t>
      </w:r>
    </w:p>
    <w:p>
      <w:pPr>
        <w:pStyle w:val="Heading1"/>
      </w:pPr>
      <w:r>
        <w:t>Incident summary</w:t>
      </w:r>
    </w:p>
    <w:p>
      <w:r>
        <w:t>The practice commenced on 10 September 2026 at 9:50pm, when a psychotropic medicine was administered to Resident W to settle repeated calling out at night. The medicine had been charted that afternoon following a telephone call to the prescriber by the evening registered nurse.</w:t>
      </w:r>
    </w:p>
    <w:p>
      <w:pPr>
        <w:pStyle w:val="Heading1"/>
      </w:pPr>
      <w:r>
        <w:t>Assessment before use</w:t>
      </w:r>
    </w:p>
    <w:p>
      <w:r>
        <w:t>The clinical record contains no assessment for reversible causes before the medicine was charted. No pain assessment was completed, and there is no record of infection being excluded.</w:t>
      </w:r>
    </w:p>
    <w:p>
      <w:r>
        <w:t>The record does not describe any non-pharmacological strategies tried before the medicine was used.</w:t>
      </w:r>
    </w:p>
    <w:p>
      <w:pPr>
        <w:pStyle w:val="Heading1"/>
      </w:pPr>
      <w:r>
        <w:t>Authorisation and consent</w:t>
      </w:r>
    </w:p>
    <w:p>
      <w:r>
        <w:t>The restrictive practices register does not contain an authorisation for this use. Resident W's daughter, her substitute decision-maker, was not asked for informed consent before the medicine was administered, and no consent has been recorded since.</w:t>
      </w:r>
    </w:p>
    <w:p>
      <w:r>
        <w:t>The authorisation form in the record is blank in the sections requiring the specific practice, the circumstances of use, the duration and the least restrictive alternatives considered.</w:t>
      </w:r>
    </w:p>
    <w:p>
      <w:pPr>
        <w:pStyle w:val="Heading1"/>
      </w:pPr>
      <w:r>
        <w:t>Reporting</w:t>
      </w:r>
    </w:p>
    <w:p>
      <w:r>
        <w:t>The use has not been recorded as a reportable incident, and the substitute decision-maker has not been notified at the time of writing, sixteen days after the medicine was first administered.</w:t>
      </w:r>
    </w:p>
    <w:p>
      <w:pPr>
        <w:pStyle w:val="Heading1"/>
      </w:pPr>
      <w:r>
        <w:t>Monitoring during use</w:t>
      </w:r>
    </w:p>
    <w:p>
      <w:r>
        <w:t>The medicine has been administered nightly since 10 September 2026. No monitoring observations have been recorded on any night, and the behaviour support plan has not been updated.</w:t>
      </w:r>
    </w:p>
    <w:p>
      <w:pPr>
        <w:pStyle w:val="Heading1"/>
      </w:pPr>
      <w:r>
        <w:t>Secure unit</w:t>
      </w:r>
    </w:p>
    <w:p>
      <w:r>
        <w:t>Resident W was moved into the secure unit on 13 September 2026. The record contains no documented assessment supporting entry and no consent from the substitute decision-maker.</w:t>
      </w:r>
    </w:p>
    <w:p>
      <w:pPr>
        <w:pStyle w:val="Heading1"/>
      </w:pPr>
      <w:r>
        <w:t>Review</w:t>
      </w:r>
    </w:p>
    <w:p>
      <w:r>
        <w:t>No review of the practice has been scheduled, and the prevalence of chemical restraint for September has not been reported to the Clinical Governance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