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Riverbend Care Group — Case study: gastroenteritis outbreak, Wattle wing</w:t>
      </w:r>
    </w:p>
    <w:p>
      <w:r>
        <w:t>SAMPLE — fictional document for demonstration</w:t>
      </w:r>
    </w:p>
    <w:p>
      <w:pPr>
        <w:pStyle w:val="Heading1"/>
      </w:pPr>
      <w:r>
        <w:t>Incident summary</w:t>
      </w:r>
    </w:p>
    <w:p>
      <w:r>
        <w:t>The outbreak was identified on 20 September 2026 at 7:30am, when a third person in Wattle wing was found to have vomiting and diarrhoea. Two people in the same area had developed the same symptoms within the preceding 24 hours, meeting the outbreak threshold in the policy.</w:t>
      </w:r>
    </w:p>
    <w:p>
      <w:pPr>
        <w:pStyle w:val="Heading1"/>
      </w:pPr>
      <w:r>
        <w:t>Immediate response</w:t>
      </w:r>
    </w:p>
    <w:p>
      <w:r>
        <w:t>The registered nurse in charge commenced contact and enteric precautions on clinical suspicion at 7:35am, without waiting for a pathology result and without a medical order.</w:t>
      </w:r>
    </w:p>
    <w:p>
      <w:r>
        <w:t>The Infection Prevention and Control Lead was notified at 9:10am, within four hours of precautions being commenced.</w:t>
      </w:r>
    </w:p>
    <w:p>
      <w:pPr>
        <w:pStyle w:val="Heading1"/>
      </w:pPr>
      <w:r>
        <w:t>Outbreak management</w:t>
      </w:r>
    </w:p>
    <w:p>
      <w:r>
        <w:t>The outbreak was declared and an outbreak register opened at 9:30am on 20 September 2026. Faecal specimens were collected from the three affected people the same morning. The Public Health Unit was notified at 10:05am.</w:t>
      </w:r>
    </w:p>
    <w:p>
      <w:r>
        <w:t>Cleaning frequency in Wattle wing was increased to twice daily with a chlorine-based product, and shared equipment was allocated to the affected rooms.</w:t>
      </w:r>
    </w:p>
    <w:p>
      <w:pPr>
        <w:pStyle w:val="Heading1"/>
      </w:pPr>
      <w:r>
        <w:t>Visiting and isolation</w:t>
      </w:r>
    </w:p>
    <w:p>
      <w:r>
        <w:t>Visiting was not suspended. Visitors to Wattle wing were met at the entrance, given personal protective equipment and instructed in its use. Affected residents were supported with daily contact from the lifestyle team to reduce the harm of isolation, recorded in each clinical record.</w:t>
      </w:r>
    </w:p>
    <w:p>
      <w:pPr>
        <w:pStyle w:val="Heading1"/>
      </w:pPr>
      <w:r>
        <w:t>Antimicrobials</w:t>
      </w:r>
    </w:p>
    <w:p>
      <w:r>
        <w:t>One person was commenced on an antimicrobial on 21 September 2026 after a clinical assessment recorded the indication and the specimen result pending. The antimicrobial was reviewed against the culture result at 60 hours.</w:t>
      </w:r>
    </w:p>
    <w:p>
      <w:pPr>
        <w:pStyle w:val="Heading1"/>
      </w:pPr>
      <w:r>
        <w:t>Worker health and immunisation</w:t>
      </w:r>
    </w:p>
    <w:p>
      <w:r>
        <w:t>Two care workers reported vomiting on 20 September 2026 and were excluded from the workplace; both returned 48 hours after their symptoms resolved. Influenza vaccination coverage for the wing's workers was recorded as 96 per cent at the last audit.</w:t>
      </w:r>
    </w:p>
    <w:p>
      <w:pPr>
        <w:pStyle w:val="Heading1"/>
      </w:pPr>
      <w:r>
        <w:t>Outstanding at the time of writing</w:t>
      </w:r>
    </w:p>
    <w:p>
      <w:r>
        <w:t>The outbreak debrief has been scheduled for 30 September 2026 and has not yet taken place. Hand hygiene compliance for September has not yet been audited by direct observation.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