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Riverbend Care Group — Case study: sharps injury and respiratory cluster, Banksia wing</w:t>
      </w:r>
    </w:p>
    <w:p>
      <w:r>
        <w:t>SAMPLE — fictional document for demonstration</w:t>
      </w:r>
    </w:p>
    <w:p>
      <w:pPr>
        <w:pStyle w:val="Heading1"/>
      </w:pPr>
      <w:r>
        <w:t>Incident summary</w:t>
      </w:r>
    </w:p>
    <w:p>
      <w:r>
        <w:t>The sharps injury occurred on 15 September 2026 at 10:10pm, when a registered nurse sustained a needlestick injury while recapping a needle after an insulin administration in Banksia wing.</w:t>
      </w:r>
    </w:p>
    <w:p>
      <w:pPr>
        <w:pStyle w:val="Heading1"/>
      </w:pPr>
      <w:r>
        <w:t>Response to the sharps injury</w:t>
      </w:r>
    </w:p>
    <w:p>
      <w:r>
        <w:t>The injury was recorded on the staff incident form at the end of the shift. The worker was assessed by a general practitioner at 11:00am the following morning, approximately thirteen hours after the injury.</w:t>
      </w:r>
    </w:p>
    <w:p>
      <w:r>
        <w:t>Post-exposure prophylaxis was not commenced. The record states that the decision was deferred until source testing results were available, which were received on 18 September 2026.</w:t>
      </w:r>
    </w:p>
    <w:p>
      <w:r>
        <w:t>The Infection Prevention and Control Lead was made aware of the injury on 17 September 2026, when the incident forms were collected for the weekly review.</w:t>
      </w:r>
    </w:p>
    <w:p>
      <w:pPr>
        <w:pStyle w:val="Heading1"/>
      </w:pPr>
      <w:r>
        <w:t>Respiratory symptoms in the same wing</w:t>
      </w:r>
    </w:p>
    <w:p>
      <w:r>
        <w:t>Between 16 and 18 September 2026, three people in Banksia wing developed cough and fever. Each was managed in their room. No outbreak was declared, no outbreak register was opened and the Public Health Unit was not notified.</w:t>
      </w:r>
    </w:p>
    <w:p>
      <w:r>
        <w:t>Transmission-based precautions were commenced for one of the three people on 18 September 2026, after a positive point-of-care test. The record does not show precautions being applied to the other two.</w:t>
      </w:r>
    </w:p>
    <w:p>
      <w:pPr>
        <w:pStyle w:val="Heading1"/>
      </w:pPr>
      <w:r>
        <w:t>Worker health</w:t>
      </w:r>
    </w:p>
    <w:p>
      <w:r>
        <w:t>A care worker who reported a fever on 17 September 2026 completed her rostered shift that day and worked a further shift on 18 September 2026.</w:t>
      </w:r>
    </w:p>
    <w:p>
      <w:pPr>
        <w:pStyle w:val="Heading1"/>
      </w:pPr>
      <w:r>
        <w:t>Antimicrobials</w:t>
      </w:r>
    </w:p>
    <w:p>
      <w:r>
        <w:t>Two people were commenced on antimicrobials on 17 September 2026. Neither entry records an indication, and no review against a culture result appears in either record.</w:t>
      </w:r>
    </w:p>
    <w:p>
      <w:pPr>
        <w:pStyle w:val="Heading1"/>
      </w:pPr>
      <w:r>
        <w:t>Environment and review</w:t>
      </w:r>
    </w:p>
    <w:p>
      <w:r>
        <w:t>Cleaning frequency was not increased. No debrief has been held and no corrective actions have been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