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Sunrise Grove Aged Care Services — Case study: unwitnessed fall, Resident M</w:t>
      </w:r>
    </w:p>
    <w:p>
      <w:r>
        <w:t>SAMPLE — fictional document for demonstration</w:t>
      </w:r>
    </w:p>
    <w:p>
      <w:pPr>
        <w:pStyle w:val="Heading1"/>
      </w:pPr>
      <w:r>
        <w:t>Incident summary</w:t>
      </w:r>
    </w:p>
    <w:p>
      <w:r>
        <w:t>The incident occurred on 18 September 2026 at 6:40am. Resident M was found on the floor beside her bed by a care worker commencing the morning round. The resident was conscious, reported pain in her right hip, and was later confirmed to have sustained a fractured neck of femur. The Facility Manager classified the incident as a Priority 1 reportable incident at 7:15am.</w:t>
      </w:r>
    </w:p>
    <w:p>
      <w:pPr>
        <w:pStyle w:val="Heading1"/>
      </w:pPr>
      <w:r>
        <w:t>Immediate response</w:t>
      </w:r>
    </w:p>
    <w:p>
      <w:r>
        <w:t>The registered nurse attended at 6:44am, completed neurological and pain observations, and did not move the resident until the ambulance crew arrived at 7:05am.</w:t>
      </w:r>
    </w:p>
    <w:p>
      <w:r>
        <w:t>A registered nurse completed the post-fall clinical review and recorded it in the clinical record at 8:20am, including the resident's pre-fall mobility, footwear, medications and the state of the call bell.</w:t>
      </w:r>
    </w:p>
    <w:p>
      <w:pPr>
        <w:pStyle w:val="Heading1"/>
      </w:pPr>
      <w:r>
        <w:t>Notifying the person and their supporters</w:t>
      </w:r>
    </w:p>
    <w:p>
      <w:r>
        <w:t>Resident M's son, her nominated representative, was telephoned at 7:30am and given an account of what was known at that time. A second call was made at 11:00am once the fracture was confirmed. Both calls are recorded in the incident record.</w:t>
      </w:r>
    </w:p>
    <w:p>
      <w:pPr>
        <w:pStyle w:val="Heading1"/>
      </w:pPr>
      <w:r>
        <w:t>Notification to the Commission</w:t>
      </w:r>
    </w:p>
    <w:p>
      <w:r>
        <w:t>The Executive Director of Clinical Governance lodged the Priority 1 notification through the Commission's portal on 18 September 2026 at 2:05pm, approximately seven hours after the provider became aware of the incident. The portal reference is recorded in the incident record.</w:t>
      </w:r>
    </w:p>
    <w:p>
      <w:r>
        <w:t>On 21 September 2026 the physiotherapy assessment identified a contributing equipment fault. Because this materially changed the picture given to the Commission, an amended notification was lodged the same day.</w:t>
      </w:r>
    </w:p>
    <w:p>
      <w:pPr>
        <w:pStyle w:val="Heading1"/>
      </w:pPr>
      <w:r>
        <w:t>Open disclosure</w:t>
      </w:r>
    </w:p>
    <w:p>
      <w:r>
        <w:t>Open disclosure was commenced with Resident M and her son at 4:00pm on 18 September 2026. The discussion covered what happened, what was being done and what would change. A follow-up meeting is scheduled for 28 September 2026 and the process has not yet been completed.</w:t>
      </w:r>
    </w:p>
    <w:p>
      <w:pPr>
        <w:pStyle w:val="Heading1"/>
      </w:pPr>
      <w:r>
        <w:t>Investigation and corrective actions</w:t>
      </w:r>
    </w:p>
    <w:p>
      <w:r>
        <w:t>A severity-rated investigation was opened on 18 September 2026 and allocated to the Quality and Risk Manager. Three corrective actions were recorded: replacement of the faulty bed rail mechanism, a night-shift environmental check added to the handover sheet, and a review of Resident M's night sedation by the prescriber.</w:t>
      </w:r>
    </w:p>
    <w:p>
      <w:pPr>
        <w:pStyle w:val="Heading1"/>
      </w:pPr>
      <w:r>
        <w:t>Supporting the workers involved</w:t>
      </w:r>
    </w:p>
    <w:p>
      <w:r>
        <w:t>The care worker who found Resident M was offered support through the employee assistance program on the morning of the incident and was not stood down.</w:t>
      </w:r>
    </w:p>
    <w:p>
      <w:pPr>
        <w:pStyle w:val="Heading1"/>
      </w:pPr>
      <w:r>
        <w:t>Outstanding at the time of writing</w:t>
      </w:r>
    </w:p>
    <w:p>
      <w:r>
        <w:t>Verification that the corrective actions have been effective has not yet been carried out; it is scheduled once the actions are 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