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Sunrise Grove Aged Care Services — Case study: unexplained bruising, Resident T</w:t>
      </w:r>
    </w:p>
    <w:p>
      <w:r>
        <w:t>SAMPLE — fictional document for demonstration</w:t>
      </w:r>
    </w:p>
    <w:p>
      <w:pPr>
        <w:pStyle w:val="Heading1"/>
      </w:pPr>
      <w:r>
        <w:t>Incident summary</w:t>
      </w:r>
    </w:p>
    <w:p>
      <w:r>
        <w:t>The incident was discovered on 12 September 2026 at 7:20pm. Extensive bruising to Resident T's upper arms was noticed by an agency care worker during the evening personal care round. Resident T lives with advanced dementia and could not account for the bruising. The worker recorded a progress note and told the registered nurse at the end of her shift.</w:t>
      </w:r>
    </w:p>
    <w:p>
      <w:pPr>
        <w:pStyle w:val="Heading1"/>
      </w:pPr>
      <w:r>
        <w:t>Initial handling</w:t>
      </w:r>
    </w:p>
    <w:p>
      <w:r>
        <w:t>No clinical review of the bruising was documented on 12 September. The first entry describing the injury in the clinical record was made on 13 September 2026 at 10:40am by the day-shift registered nurse.</w:t>
      </w:r>
    </w:p>
    <w:p>
      <w:pPr>
        <w:pStyle w:val="Heading1"/>
      </w:pPr>
      <w:r>
        <w:t>Classification</w:t>
      </w:r>
    </w:p>
    <w:p>
      <w:r>
        <w:t>The Facility Manager discussed the bruising with the Executive Director of Clinical Governance on 14 September 2026 and recorded that it was “likely a manual handling mark”. The incident was logged as non-reportable. No consultation with the resident's representative informed that decision.</w:t>
      </w:r>
    </w:p>
    <w:p>
      <w:pPr>
        <w:pStyle w:val="Heading1"/>
      </w:pPr>
      <w:r>
        <w:t>Notifying the person and their supporters</w:t>
      </w:r>
    </w:p>
    <w:p>
      <w:r>
        <w:t>Resident T's daughter was informed on 14 September 2026 at 5:15pm, two days after the bruising was discovered.</w:t>
      </w:r>
    </w:p>
    <w:p>
      <w:pPr>
        <w:pStyle w:val="Heading1"/>
      </w:pPr>
      <w:r>
        <w:t>Notification to the Commission</w:t>
      </w:r>
    </w:p>
    <w:p>
      <w:r>
        <w:t>No notification has been made to the Aged Care Quality and Safety Commission. The Facility Manager's note records that advice is being sought on whether the bruising meets the reportable threshold for unreasonable use of force.</w:t>
      </w:r>
    </w:p>
    <w:p>
      <w:pPr>
        <w:pStyle w:val="Heading1"/>
      </w:pPr>
      <w:r>
        <w:t>Open disclosure</w:t>
      </w:r>
    </w:p>
    <w:p>
      <w:r>
        <w:t>Open disclosure has not been commenced. The incident record contains no plan for it and no date.</w:t>
      </w:r>
    </w:p>
    <w:p>
      <w:pPr>
        <w:pStyle w:val="Heading1"/>
      </w:pPr>
      <w:r>
        <w:t>Workers involved</w:t>
      </w:r>
    </w:p>
    <w:p>
      <w:r>
        <w:t>The agency care worker who had provided personal care on the preceding shift was told by telephone on 13 September 2026 not to attend further shifts pending inquiry. Nothing was given to her in writing, and no expected duration was stated.</w:t>
      </w:r>
    </w:p>
    <w:p>
      <w:pPr>
        <w:pStyle w:val="Heading1"/>
      </w:pPr>
      <w:r>
        <w:t>Investigation</w:t>
      </w:r>
    </w:p>
    <w:p>
      <w:r>
        <w:t>No investigation has been allocated and no corrective actions have been recorded. The incident remains open in the register with no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