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Thornbury Aged Care Services — Case study: unplanned weight loss, Resident D</w:t>
      </w:r>
    </w:p>
    <w:p>
      <w:r>
        <w:t>SAMPLE — fictional document for demonstration</w:t>
      </w:r>
    </w:p>
    <w:p>
      <w:pPr>
        <w:pStyle w:val="Heading1"/>
      </w:pPr>
      <w:r>
        <w:t>Incident summary</w:t>
      </w:r>
    </w:p>
    <w:p>
      <w:r>
        <w:t>The weight loss was identified on 14 September 2026 at 9:00am, when Resident D's monthly weight was recorded and showed a loss of 3.4 kilograms, approximately five per cent of body weight, over the preceding month.</w:t>
      </w:r>
    </w:p>
    <w:p>
      <w:pPr>
        <w:pStyle w:val="Heading1"/>
      </w:pPr>
      <w:r>
        <w:t>Screening and monitoring</w:t>
      </w:r>
    </w:p>
    <w:p>
      <w:r>
        <w:t>Resident D entered care on 2 September 2026. A validated malnutrition screen was completed by a registered nurse on 5 September 2026, three days after entry, and filed in the clinical record.</w:t>
      </w:r>
    </w:p>
    <w:p>
      <w:r>
        <w:t>Weights have been recorded monthly since entry, and weekly from 14 September 2026 once the loss was identified.</w:t>
      </w:r>
    </w:p>
    <w:p>
      <w:pPr>
        <w:pStyle w:val="Heading1"/>
      </w:pPr>
      <w:r>
        <w:t>Response to the weight loss</w:t>
      </w:r>
    </w:p>
    <w:p>
      <w:r>
        <w:t>A dietitian referral was made on 16 September 2026, two days after the loss was identified. The dietitian reviewed Resident D on 21 September 2026 and recommended fortified meals and a mid-morning supplement.</w:t>
      </w:r>
    </w:p>
    <w:p>
      <w:r>
        <w:t>Food and fluid charting was commenced on 14 September 2026 and has been completed at every meal since.</w:t>
      </w:r>
    </w:p>
    <w:p>
      <w:pPr>
        <w:pStyle w:val="Heading1"/>
      </w:pPr>
      <w:r>
        <w:t>Texture and assistance</w:t>
      </w:r>
    </w:p>
    <w:p>
      <w:r>
        <w:t>Resident D is on a minced and moist diet following a speech pathology assessment on 8 September 2026. The texture level is recorded on the meal service sheet, the kitchen ticket and above the bed.</w:t>
      </w:r>
    </w:p>
    <w:p>
      <w:r>
        <w:t>Resident D requires assistance to eat and is supported by a named care worker who sits at eye level for the whole meal, recorded in the care plan.</w:t>
      </w:r>
    </w:p>
    <w:p>
      <w:pPr>
        <w:pStyle w:val="Heading1"/>
      </w:pPr>
      <w:r>
        <w:t>Dining experience</w:t>
      </w:r>
    </w:p>
    <w:p>
      <w:r>
        <w:t>Protected mealtimes were observed for all three meals on 14 September 2026; no non-urgent clinical rounds or medication rounds took place during service.</w:t>
      </w:r>
    </w:p>
    <w:p>
      <w:pPr>
        <w:pStyle w:val="Heading1"/>
      </w:pPr>
      <w:r>
        <w:t>Food safety</w:t>
      </w:r>
    </w:p>
    <w:p>
      <w:r>
        <w:t>Hot food temperatures were logged at every service in September and were at or above the required temperature. The cooling log for 14 September 2026 records the soup passing from 60 to 21 degrees in 90 minutes and from 21 to 5 degrees in a further three hours.</w:t>
      </w:r>
    </w:p>
    <w:p>
      <w:pPr>
        <w:pStyle w:val="Heading1"/>
      </w:pPr>
      <w:r>
        <w:t>Outstanding at the time of writing</w:t>
      </w:r>
    </w:p>
    <w:p>
      <w:r>
        <w:t>The resident food focus group has not met since July 2026 and the next meeting has not been scheduled.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