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Thornbury Aged Care Services — Case study: wrong texture served at lunch, Resident F</w:t>
      </w:r>
    </w:p>
    <w:p>
      <w:r>
        <w:t>SAMPLE — fictional document for demonstration</w:t>
      </w:r>
    </w:p>
    <w:p>
      <w:pPr>
        <w:pStyle w:val="Heading1"/>
      </w:pPr>
      <w:r>
        <w:t>Incident summary</w:t>
      </w:r>
    </w:p>
    <w:p>
      <w:r>
        <w:t>The incident occurred on 19 September 2026 at 12:25pm, when Resident F, who is prescribed a minced and moist diet, was served and began eating a regular-texture lunch in the main dining room. A care worker noticed after several mouthfuls and removed the meal.</w:t>
      </w:r>
    </w:p>
    <w:p>
      <w:pPr>
        <w:pStyle w:val="Heading1"/>
      </w:pPr>
      <w:r>
        <w:t>Immediate response</w:t>
      </w:r>
    </w:p>
    <w:p>
      <w:r>
        <w:t>The registered nurse in charge was told at 1:05pm, about forty minutes after the error was noticed. Resident F coughed during the meal but no respiratory observations were recorded.</w:t>
      </w:r>
    </w:p>
    <w:p>
      <w:r>
        <w:t>The incident was not entered into the incident system. It appears only as a line in the kitchen communication book.</w:t>
      </w:r>
    </w:p>
    <w:p>
      <w:pPr>
        <w:pStyle w:val="Heading1"/>
      </w:pPr>
      <w:r>
        <w:t>Texture records</w:t>
      </w:r>
    </w:p>
    <w:p>
      <w:r>
        <w:t>Resident F's texture level was not recorded on the meal service sheet for 19 September 2026. The speech pathology recommendation in the clinical record is dated March 2026 and has not been reviewed since.</w:t>
      </w:r>
    </w:p>
    <w:p>
      <w:pPr>
        <w:pStyle w:val="Heading1"/>
      </w:pPr>
      <w:r>
        <w:t>Screening and monitoring</w:t>
      </w:r>
    </w:p>
    <w:p>
      <w:r>
        <w:t>Resident F entered care on 1 September 2026. No validated malnutrition screen appears in the clinical record at the time of writing, eighteen days after entry.</w:t>
      </w:r>
    </w:p>
    <w:p>
      <w:r>
        <w:t>A weight loss of 2.9 kilograms was recorded on 12 September 2026. No dietitian referral has been made.</w:t>
      </w:r>
    </w:p>
    <w:p>
      <w:pPr>
        <w:pStyle w:val="Heading1"/>
      </w:pPr>
      <w:r>
        <w:t>Food safety</w:t>
      </w:r>
    </w:p>
    <w:p>
      <w:r>
        <w:t>The cooling log for the week of 14 September 2026 has no entries for three of seven days. A food recall notice published on 15 September 2026 was actioned on 18 September 2026, when the affected stock was removed.</w:t>
      </w:r>
    </w:p>
    <w:p>
      <w:pPr>
        <w:pStyle w:val="Heading1"/>
      </w:pPr>
      <w:r>
        <w:t>Food brought in by the family</w:t>
      </w:r>
    </w:p>
    <w:p>
      <w:r>
        <w:t>A container of home-cooked food was left by Resident F's family at the nurses' station at about 11:00am on 19 September 2026 and was placed in the refrigerator after the lunch service, around 2:00pm. It carried no name and no date.</w:t>
      </w:r>
    </w:p>
    <w:p>
      <w:pPr>
        <w:pStyle w:val="Heading1"/>
      </w:pPr>
      <w:r>
        <w:t>Dining experience</w:t>
      </w:r>
    </w:p>
    <w:p>
      <w:r>
        <w:t>The medication round ran through the lunch service on 19 September 2026. Two residents requiring assistance began eating after the others had finished.</w:t>
      </w:r>
    </w:p>
    <w:p>
      <w:pPr>
        <w:pStyle w:val="Heading1"/>
      </w:pPr>
      <w:r>
        <w:t>Follow-up</w:t>
      </w:r>
    </w:p>
    <w:p>
      <w:r>
        <w:t>No corrective actions have been recorded, and Resident F's representative has not been informed of the texture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