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Kanangra Court Aged Care — Case study: medication error, Resident K</w:t>
      </w:r>
    </w:p>
    <w:p>
      <w:r>
        <w:t>SAMPLE — fictional document for demonstration</w:t>
      </w:r>
    </w:p>
    <w:p>
      <w:pPr>
        <w:pStyle w:val="Heading1"/>
      </w:pPr>
      <w:r>
        <w:t>Incident summary</w:t>
      </w:r>
    </w:p>
    <w:p>
      <w:r>
        <w:t>The medication error occurred on 14 September 2026 at 3:10pm. Resident K was administered a dose of a medication prescribed for another resident during the afternoon medication round in Wing B.</w:t>
      </w:r>
    </w:p>
    <w:p>
      <w:pPr>
        <w:pStyle w:val="Heading1"/>
      </w:pPr>
      <w:r>
        <w:t>Immediate response taken</w:t>
      </w:r>
    </w:p>
    <w:p>
      <w:r>
        <w:t>The registered nurse assessed Resident K at 3:25pm. Observations were within normal limits and were recorded in the clinical record at 3:40pm.</w:t>
      </w:r>
    </w:p>
    <w:p>
      <w:r>
        <w:t>The nurse in charge was notified at 3:35pm and attended the wing.</w:t>
      </w:r>
    </w:p>
    <w:p>
      <w:r>
        <w:t>The resident's daughter, the nominated representative, was telephoned at 4:15pm and informed of the error and the observations taken.</w:t>
      </w:r>
    </w:p>
    <w:p>
      <w:pPr>
        <w:pStyle w:val="Heading1"/>
      </w:pPr>
      <w:r>
        <w:t>Outstanding at the time of writing</w:t>
      </w:r>
    </w:p>
    <w:p>
      <w:r>
        <w:t>The prescriber had not been contacted at the time this record was written. The clinical governance lead has been asked to begin the preliminary review but has not yet scheduled it.</w:t>
      </w:r>
    </w:p>
    <w:p>
      <w:r>
        <w:t>No notification has been made to the Aged Care Quality and Safety Commission; the facility manager is seeking advice on whether the incident meets the Priority 1 threshold.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