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Kanangra Court Aged Care — Incident Escalation Protocol</w:t>
      </w:r>
    </w:p>
    <w:p>
      <w:r>
        <w:t>SAMPLE — fictional document for demonstration</w:t>
      </w:r>
    </w:p>
    <w:p>
      <w:pPr>
        <w:pStyle w:val="Heading1"/>
      </w:pPr>
      <w:r>
        <w:t>Part 1 Purpose</w:t>
      </w:r>
    </w:p>
    <w:p>
      <w:r>
        <w:t>This protocol sets the escalation steps and timeframes that apply when a medication incident, fall or unexplained absence occurs at Kanangra Court. Every provider, resident and reference in this document is fictional.</w:t>
      </w:r>
    </w:p>
    <w:p>
      <w:pPr>
        <w:pStyle w:val="Heading1"/>
      </w:pPr>
      <w:r>
        <w:t>Part 2 Immediate response</w:t>
      </w:r>
    </w:p>
    <w:p>
      <w:pPr>
        <w:pStyle w:val="Heading2"/>
      </w:pPr>
      <w:r>
        <w:t>2.1 Clinical assessment</w:t>
      </w:r>
    </w:p>
    <w:p>
      <w:r>
        <w:t>The registered nurse on duty must assess the affected resident within 30 minutes of the incident being discovered and record the assessment in the clinical record.</w:t>
      </w:r>
    </w:p>
    <w:p>
      <w:pPr>
        <w:pStyle w:val="Heading2"/>
      </w:pPr>
      <w:r>
        <w:t>2.2 Notifying the nurse in charge</w:t>
      </w:r>
    </w:p>
    <w:p>
      <w:r>
        <w:t>The registered nurse must notify the nurse in charge within 1 hour of the incident.</w:t>
      </w:r>
    </w:p>
    <w:p>
      <w:pPr>
        <w:pStyle w:val="Heading1"/>
      </w:pPr>
      <w:r>
        <w:t>Part 3 Escalation</w:t>
      </w:r>
    </w:p>
    <w:p>
      <w:pPr>
        <w:pStyle w:val="Heading2"/>
      </w:pPr>
      <w:r>
        <w:t>3.1 Notifying the family or representative</w:t>
      </w:r>
    </w:p>
    <w:p>
      <w:r>
        <w:t>The facility manager must notify the resident's nominated representative within 4 hours of the incident.</w:t>
      </w:r>
    </w:p>
    <w:p>
      <w:pPr>
        <w:pStyle w:val="Heading2"/>
      </w:pPr>
      <w:r>
        <w:t>3.2 Notifying the prescriber</w:t>
      </w:r>
    </w:p>
    <w:p>
      <w:r>
        <w:t>Where a medication was given in error, the prescriber must be contacted within 2 hours of the error being identified.</w:t>
      </w:r>
    </w:p>
    <w:p>
      <w:pPr>
        <w:pStyle w:val="Heading2"/>
      </w:pPr>
      <w:r>
        <w:t>3.3 Reportable incident notification</w:t>
      </w:r>
    </w:p>
    <w:p>
      <w:r>
        <w:t>A Priority 1 reportable incident must be notified to the Aged Care Quality and Safety Commission within 24 hours of the provider becoming aware of it.</w:t>
      </w:r>
    </w:p>
    <w:p>
      <w:pPr>
        <w:pStyle w:val="Heading1"/>
      </w:pPr>
      <w:r>
        <w:t>Part 4 Review</w:t>
      </w:r>
    </w:p>
    <w:p>
      <w:pPr>
        <w:pStyle w:val="Heading2"/>
      </w:pPr>
      <w:r>
        <w:t>4.1 Preliminary review</w:t>
      </w:r>
    </w:p>
    <w:p>
      <w:r>
        <w:t>The clinical governance lead must complete a preliminary review within 2 business days of the incident.</w:t>
      </w:r>
    </w:p>
    <w:p>
      <w:pPr>
        <w:pStyle w:val="Heading2"/>
      </w:pPr>
      <w:r>
        <w:t>4.2 Full investigation</w:t>
      </w:r>
    </w:p>
    <w:p>
      <w:r>
        <w:t>A full investigation report must be submitted to the board within 30 days and 4 hours of the incident, to align with the Commission's reporting cycle.</w:t>
      </w:r>
    </w:p>
    <w:p>
      <w:pPr>
        <w:pStyle w:val="Heading2"/>
      </w:pPr>
      <w:r>
        <w:t>4.3 Ongoing monitoring</w:t>
      </w:r>
    </w:p>
    <w:p>
      <w:r>
        <w:t>Medication administration audits must continue monthly for 6 months after any Priority 1 medication incident.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