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40" w:before="0"/>
        <w:jc w:val="center"/>
      </w:pPr>
      <w:r>
        <w:rPr>
          <w:rFonts w:ascii="Arial" w:cs="Arial" w:eastAsia="Arial" w:hAnsi="Arial"/>
          <w:b/>
          <w:bCs/>
          <w:color w:val="1B3A5C"/>
          <w:sz w:val="64"/>
          <w:szCs w:val="64"/>
        </w:rPr>
        <w:t xml:space="preserve">Inplicit</w:t>
      </w:r>
    </w:p>
    <w:p>
      <w:pPr>
        <w:spacing w:after="160" w:before="0"/>
        <w:jc w:val="center"/>
      </w:pPr>
      <w:r>
        <w:rPr>
          <w:rFonts w:ascii="Arial" w:cs="Arial" w:eastAsia="Arial" w:hAnsi="Arial"/>
          <w:color w:val="2E86AB"/>
          <w:sz w:val="40"/>
          <w:szCs w:val="40"/>
        </w:rPr>
        <w:t xml:space="preserve">Technical Architecture Brief</w:t>
      </w:r>
    </w:p>
    <w:p>
      <w:pPr>
        <w:spacing w:after="80" w:before="0"/>
        <w:jc w:val="center"/>
      </w:pPr>
      <w:r>
        <w:rPr>
          <w:rFonts w:ascii="Arial" w:cs="Arial" w:eastAsia="Arial" w:hAnsi="Arial"/>
          <w:i/>
          <w:iCs/>
          <w:color w:val="555555"/>
          <w:sz w:val="24"/>
          <w:szCs w:val="24"/>
        </w:rPr>
        <w:t xml:space="preserve">Interview Agent System — Context Ingestion, Agent Design,</w:t>
      </w:r>
    </w:p>
    <w:p>
      <w:pPr>
        <w:spacing w:after="400" w:before="0"/>
        <w:jc w:val="center"/>
      </w:pPr>
      <w:r>
        <w:rPr>
          <w:rFonts w:ascii="Arial" w:cs="Arial" w:eastAsia="Arial" w:hAnsi="Arial"/>
          <w:i/>
          <w:iCs/>
          <w:color w:val="555555"/>
          <w:sz w:val="24"/>
          <w:szCs w:val="24"/>
        </w:rPr>
        <w:t xml:space="preserve">Synthesis Engine, Trust, Latency &amp; Privacy</w:t>
      </w:r>
    </w:p>
    <w:p>
      <w:pPr>
        <w:jc w:val="center"/>
      </w:pPr>
      <w:r>
        <w:rPr>
          <w:rFonts w:ascii="Arial" w:cs="Arial" w:eastAsia="Arial" w:hAnsi="Arial"/>
          <w:color w:val="CCCCCC"/>
          <w:sz w:val="20"/>
          <w:szCs w:val="20"/>
        </w:rPr>
        <w:t xml:space="preserve">April 2026  |  Confidential</w:t>
      </w:r>
    </w:p>
    <w:p>
      <w:r>
        <w:br w:type="page"/>
      </w:r>
    </w:p>
    <w:p>
      <w:pPr>
        <w:pStyle w:val="Heading1"/>
        <w:pBdr>
          <w:bottom w:val="single" w:color="2E86AB" w:sz="4" w:space="4"/>
        </w:pBdr>
        <w:spacing w:after="200" w:before="400"/>
      </w:pPr>
      <w:r>
        <w:rPr>
          <w:rFonts w:ascii="Arial" w:cs="Arial" w:eastAsia="Arial" w:hAnsi="Arial"/>
          <w:b/>
          <w:bCs/>
          <w:color w:val="1B3A5C"/>
          <w:sz w:val="32"/>
          <w:szCs w:val="32"/>
        </w:rPr>
        <w:t xml:space="preserve">1. Context Integration Layer — The Organizational Knowledge Graph</w:t>
      </w:r>
    </w:p>
    <w:p>
      <w:pPr>
        <w:spacing w:after="120" w:before="100"/>
      </w:pPr>
      <w:r>
        <w:rPr>
          <w:rFonts w:ascii="Arial" w:cs="Arial" w:eastAsia="Arial" w:hAnsi="Arial"/>
          <w:color w:val="555555"/>
          <w:sz w:val="22"/>
          <w:szCs w:val="22"/>
        </w:rPr>
        <w:t xml:space="preserve">Before the interview agent says a single word, it needs to know who it is talking to, what they do, which processes they own, and where the formal org structure diverges from actual working reality. This context cannot come from the interview itself — it has to be pre-loaded from authoritative internal systems.</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1.1 What We Extract From Each Source</w:t>
      </w:r>
    </w:p>
    <w:p>
      <w:pPr>
        <w:spacing w:after="120" w:before="100"/>
      </w:pPr>
      <w:r>
        <w:rPr>
          <w:rFonts w:ascii="Arial" w:cs="Arial" w:eastAsia="Arial" w:hAnsi="Arial"/>
          <w:color w:val="555555"/>
          <w:sz w:val="22"/>
          <w:szCs w:val="22"/>
        </w:rPr>
        <w:t xml:space="preserve">The goal is not to ingest everything — it is to extract only the minimum necessary signals that allow the interview agent to ask relevant, role-specific follow-up questions. Each source provides a different slice of organizational reality.</w:t>
      </w:r>
    </w:p>
    <w:p>
      <w:pPr>
        <w:spacing w:after="0" w:before="100"/>
      </w:pPr>
      <w:r>
        <w:t xml:space="preserve"/>
      </w:r>
    </w:p>
    <w:p>
      <w:pPr>
        <w:pStyle w:val="Heading3"/>
        <w:spacing w:after="120" w:before="200"/>
      </w:pPr>
      <w:r>
        <w:rPr>
          <w:rFonts w:ascii="Arial" w:cs="Arial" w:eastAsia="Arial" w:hAnsi="Arial"/>
          <w:b/>
          <w:bCs/>
          <w:color w:val="1B3A5C"/>
          <w:sz w:val="22"/>
          <w:szCs w:val="22"/>
        </w:rPr>
        <w:t xml:space="preserve">Microsoft 365 / Outlook</w:t>
      </w:r>
    </w:p>
    <w:p>
      <w:pPr>
        <w:spacing w:after="120" w:before="100"/>
      </w:pPr>
      <w:r>
        <w:rPr>
          <w:rFonts w:ascii="Arial" w:cs="Arial" w:eastAsia="Arial" w:hAnsi="Arial"/>
          <w:color w:val="555555"/>
          <w:sz w:val="22"/>
          <w:szCs w:val="22"/>
        </w:rPr>
        <w:t xml:space="preserve">Use the Microsoft Graph API (read-only, scoped to organizational metadata). Extract organizational hierarchy (manager/direct-report chains), team memberships from Azure AD groups, meeting cadence patterns (who meets with whom — without content), and SharePoint site memberships for project affiliation. Do not touch email content. Ever. The signal from org chart + calendar metadata is sufficient and the privacy cost of reading email content is not acceptable in a GDPR context.</w:t>
      </w:r>
    </w:p>
    <w:p>
      <w:pPr>
        <w:spacing w:after="0" w:before="100"/>
      </w:pPr>
      <w:r>
        <w:t xml:space="preserve"/>
      </w:r>
    </w:p>
    <w:p>
      <w:pPr>
        <w:pStyle w:val="Heading3"/>
        <w:spacing w:after="120" w:before="200"/>
      </w:pPr>
      <w:r>
        <w:rPr>
          <w:rFonts w:ascii="Arial" w:cs="Arial" w:eastAsia="Arial" w:hAnsi="Arial"/>
          <w:b/>
          <w:bCs/>
          <w:color w:val="1B3A5C"/>
          <w:sz w:val="22"/>
          <w:szCs w:val="22"/>
        </w:rPr>
        <w:t xml:space="preserve">Slack</w:t>
      </w:r>
    </w:p>
    <w:p>
      <w:pPr>
        <w:spacing w:after="120" w:before="100"/>
      </w:pPr>
      <w:r>
        <w:rPr>
          <w:rFonts w:ascii="Arial" w:cs="Arial" w:eastAsia="Arial" w:hAnsi="Arial"/>
          <w:color w:val="555555"/>
          <w:sz w:val="22"/>
          <w:szCs w:val="22"/>
        </w:rPr>
        <w:t xml:space="preserve">Channel membership reveals informal structure that the org chart does not. Extract: channel membership per user (which projects/topics they participate in), user profile metadata (role title, department, timezone), and the channel directory (channel names and descriptions as topic signals). Do not extract message content. The combination of "which channels is this person in" and "what are those channels about" gives you project affiliation without reading private communication.</w:t>
      </w:r>
    </w:p>
    <w:p>
      <w:pPr>
        <w:spacing w:after="0" w:before="100"/>
      </w:pPr>
      <w:r>
        <w:t xml:space="preserve"/>
      </w:r>
    </w:p>
    <w:p>
      <w:pPr>
        <w:pStyle w:val="Heading3"/>
        <w:spacing w:after="120" w:before="200"/>
      </w:pPr>
      <w:r>
        <w:rPr>
          <w:rFonts w:ascii="Arial" w:cs="Arial" w:eastAsia="Arial" w:hAnsi="Arial"/>
          <w:b/>
          <w:bCs/>
          <w:color w:val="1B3A5C"/>
          <w:sz w:val="22"/>
          <w:szCs w:val="22"/>
        </w:rPr>
        <w:t xml:space="preserve">SAP HCM / SuccessFactors</w:t>
      </w:r>
    </w:p>
    <w:p>
      <w:pPr>
        <w:spacing w:after="120" w:before="100"/>
      </w:pPr>
      <w:r>
        <w:rPr>
          <w:rFonts w:ascii="Arial" w:cs="Arial" w:eastAsia="Arial" w:hAnsi="Arial"/>
          <w:color w:val="555555"/>
          <w:sz w:val="22"/>
          <w:szCs w:val="22"/>
        </w:rPr>
        <w:t xml:space="preserve">This is the source of truth for the formal org model. Extract: org unit hierarchy, job function codes and descriptions, cost centre assignments, contract type (FTE, contractor, part-time), seniority level, and years in role. This data tells the agent whether it is speaking to a frontline IC, a team lead, or a senior manager — and therefore which question tracks are relevant.</w:t>
      </w:r>
    </w:p>
    <w:p>
      <w:pPr>
        <w:spacing w:after="0" w:before="100"/>
      </w:pPr>
      <w:r>
        <w:t xml:space="preserve"/>
      </w:r>
    </w:p>
    <w:p>
      <w:pPr>
        <w:pStyle w:val="Heading3"/>
        <w:spacing w:after="120" w:before="200"/>
      </w:pPr>
      <w:r>
        <w:rPr>
          <w:rFonts w:ascii="Arial" w:cs="Arial" w:eastAsia="Arial" w:hAnsi="Arial"/>
          <w:b/>
          <w:bCs/>
          <w:color w:val="1B3A5C"/>
          <w:sz w:val="22"/>
          <w:szCs w:val="22"/>
        </w:rPr>
        <w:t xml:space="preserve">Celonis (Process Mining)</w:t>
      </w:r>
    </w:p>
    <w:p>
      <w:pPr>
        <w:spacing w:after="120" w:before="100"/>
      </w:pPr>
      <w:r>
        <w:rPr>
          <w:rFonts w:ascii="Arial" w:cs="Arial" w:eastAsia="Arial" w:hAnsi="Arial"/>
          <w:color w:val="555555"/>
          <w:sz w:val="22"/>
          <w:szCs w:val="22"/>
        </w:rPr>
        <w:t xml:space="preserve">Celonis is where formal process meets actual behaviour. Extract: which process variants a person's team actually executes (vs. the documented standard), which steps in a process are associated with high rework or wait time, and which process areas are owned by this person's cost centre. This is the most operationally specific context available — it lets the agent ask "our data shows your team handles the GR/IR exception variant significantly more than average — is that something you'd like to talk about?" This kind of specificity is what makes an interview feel worth doing.</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1.2 Building the Organizational Knowledge Graph</w:t>
      </w:r>
    </w:p>
    <w:p>
      <w:pPr>
        <w:spacing w:after="120" w:before="100"/>
      </w:pPr>
      <w:r>
        <w:rPr>
          <w:rFonts w:ascii="Arial" w:cs="Arial" w:eastAsia="Arial" w:hAnsi="Arial"/>
          <w:color w:val="555555"/>
          <w:sz w:val="22"/>
          <w:szCs w:val="22"/>
        </w:rPr>
        <w:t xml:space="preserve">Do not store these as flat tables. Store them as a property graph. Each employee is a node. Edges represent: reports-to (from SAP), collaborates-with (from Slack/Outlook), works-on-process (from Celonis), member-of (from Azure AD). This graph is the foundation for context retrieval at interview time.</w:t>
      </w:r>
    </w:p>
    <w:p>
      <w:pPr>
        <w:spacing w:after="0" w:before="100"/>
      </w:pPr>
      <w:r>
        <w:t xml:space="preserve"/>
      </w:r>
    </w:p>
    <w:p>
      <w:pPr>
        <w:spacing w:after="120" w:before="100"/>
      </w:pPr>
      <w:r>
        <w:rPr>
          <w:rFonts w:ascii="Arial" w:cs="Arial" w:eastAsia="Arial" w:hAnsi="Arial"/>
          <w:color w:val="555555"/>
          <w:sz w:val="22"/>
          <w:szCs w:val="22"/>
        </w:rPr>
        <w:t xml:space="preserve">Recommended storage: PostgreSQL with the pgvector extension and a recursive CTE for graph traversal. Neo4j is an option if graph query complexity grows, but for a v1 product the operational overhead of running a separate graph database is not worth it. PostgreSQL handles tree traversal and vector similarity in one system, under one DPA.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6"/>
              <w:bottom w:val="none"/>
              <w:right w:val="none"/>
            </w:tcBorders>
            <w:shd w:fill="E8F4FD" w:val="clear"/>
            <w:tcMar>
              <w:top w:type="dxa" w:w="120"/>
              <w:left w:type="dxa" w:w="200"/>
              <w:bottom w:type="dxa" w:w="120"/>
              <w:right w:type="dxa" w:w="200"/>
            </w:tcMar>
          </w:tcPr>
          <w:p>
            <w:pPr>
              <w:spacing w:after="0" w:before="0"/>
            </w:pPr>
            <w:r>
              <w:rPr>
                <w:rFonts w:ascii="Arial" w:cs="Arial" w:eastAsia="Arial" w:hAnsi="Arial"/>
                <w:i/>
                <w:iCs/>
                <w:color w:val="1B3A5C"/>
                <w:sz w:val="20"/>
                <w:szCs w:val="20"/>
              </w:rPr>
              <w:t xml:space="preserve">Privacy design decision: The org graph is built from metadata only (no message content, no email content, no document content). Each data source connection requires a documented Data Processing Agreement and a proportionality assessment under GDPR Art. 5(1)(c). The legal basis is legitimate interest, documented in a LIA before any connector is enabled.</w:t>
            </w:r>
          </w:p>
        </w:tc>
      </w:tr>
    </w:tbl>
    <w:p>
      <w:pPr>
        <w:spacing w:after="0" w:before="100"/>
      </w:pPr>
      <w:r>
        <w:t xml:space="preserve"/>
      </w:r>
    </w:p>
    <w:p>
      <w:pPr>
        <w:pStyle w:val="Heading2"/>
        <w:spacing w:after="160" w:before="300"/>
      </w:pPr>
      <w:r>
        <w:rPr>
          <w:rFonts w:ascii="Arial" w:cs="Arial" w:eastAsia="Arial" w:hAnsi="Arial"/>
          <w:b/>
          <w:bCs/>
          <w:color w:val="2E86AB"/>
          <w:sz w:val="26"/>
          <w:szCs w:val="26"/>
        </w:rPr>
        <w:t xml:space="preserve">1.3 Context Injection at Interview Time</w:t>
      </w:r>
    </w:p>
    <w:p>
      <w:pPr>
        <w:spacing w:after="120" w:before="100"/>
      </w:pPr>
      <w:r>
        <w:rPr>
          <w:rFonts w:ascii="Arial" w:cs="Arial" w:eastAsia="Arial" w:hAnsi="Arial"/>
          <w:color w:val="555555"/>
          <w:sz w:val="22"/>
          <w:szCs w:val="22"/>
        </w:rPr>
        <w:t xml:space="preserve">When an interview session starts for a given employee, the system retrieves a "context pack": a structured summary of that person's position in the graph, their process areas, and any statistical signals from Celonis relevant to their team. This context pack is injected into the interview agent's system prompt — not the full graph, just the relevant neighbourhood.</w:t>
      </w:r>
    </w:p>
    <w:p>
      <w:pPr>
        <w:spacing w:after="0" w:before="100"/>
      </w:pPr>
      <w:r>
        <w:t xml:space="preserve"/>
      </w:r>
    </w:p>
    <w:p>
      <w:pPr>
        <w:spacing w:after="120" w:before="100"/>
      </w:pPr>
      <w:r>
        <w:rPr>
          <w:rFonts w:ascii="Arial" w:cs="Arial" w:eastAsia="Arial" w:hAnsi="Arial"/>
          <w:color w:val="555555"/>
          <w:sz w:val="22"/>
          <w:szCs w:val="22"/>
        </w:rPr>
        <w:t xml:space="preserve">The context pack is generated with a retrieval step (graph query + vector similarity) and formatted as structured text, not raw data. The agent never has access to names of other employees — only roles and process areas. This is a hard constraint enforced at the context pack generation layer, not left to the model.</w:t>
      </w:r>
    </w:p>
    <w:p>
      <w:pPr>
        <w:spacing w:after="0" w:before="100"/>
      </w:pPr>
      <w:r>
        <w:t xml:space="preserve"/>
      </w:r>
    </w:p>
    <w:p>
      <w:r>
        <w:br w:type="page"/>
      </w:r>
    </w:p>
    <w:p>
      <w:pPr>
        <w:pStyle w:val="Heading1"/>
        <w:pBdr>
          <w:bottom w:val="single" w:color="2E86AB" w:sz="4" w:space="4"/>
        </w:pBdr>
        <w:spacing w:after="200" w:before="400"/>
      </w:pPr>
      <w:r>
        <w:rPr>
          <w:rFonts w:ascii="Arial" w:cs="Arial" w:eastAsia="Arial" w:hAnsi="Arial"/>
          <w:b/>
          <w:bCs/>
          <w:color w:val="1B3A5C"/>
          <w:sz w:val="32"/>
          <w:szCs w:val="32"/>
        </w:rPr>
        <w:t xml:space="preserve">2. Interview Agent Architecture</w:t>
      </w:r>
    </w:p>
    <w:p>
      <w:pPr>
        <w:spacing w:after="120" w:before="100"/>
      </w:pPr>
      <w:r>
        <w:rPr>
          <w:rFonts w:ascii="Arial" w:cs="Arial" w:eastAsia="Arial" w:hAnsi="Arial"/>
          <w:color w:val="555555"/>
          <w:sz w:val="22"/>
          <w:szCs w:val="22"/>
        </w:rPr>
        <w:t xml:space="preserve">The interview agent is not a chatbot with an interview prompt. It is an orchestrated system of components with clear seams between them — designed so that any component (including the LLM) can be replaced without touching the others. This is not premature abstraction; it is the only design that survives a compliance audit and a vendor change.</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2.1 Component Architecture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Mode Handling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Session Manager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Stateless session lifecycle — creates, suspends, resumes, terminates interviews. Stores session state in DB, not in memory.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If process crashes, session can be resumed from DB state. Partial transcripts are recoverable.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Context Injector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Retrieves org context pack for the interviewee and formats the system prompt. Enforces PII exclusions before prompt construction.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If context retrieval fails, falls back to role-only context. Interview continues in reduced mode, flagged for review.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Conversation Engine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LLM call layer. Stateless — receives current context + transcript history, returns next agent turn.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Implements retry with exponential backoff. On provider outage, routes to fallback provider. Timeout = 8s; if exceeded, graceful pause message to user.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Turn Manager</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Handles voice-specific concerns: VAD (voice activity detection), interruption detection, pause handling, cross-talk. Bridges audio stream to transcript chunks.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Long silence triggers a soft check-in prompt. Interruptions are handled by cutting TTS and re-entering STT listen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Transcript Writer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Receives raw STT output, applies immediate pseudonymization (name/place detection), writes to append-only transcript store. Flushes audio buffer after each chunk.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Append-only write — no update path. If a write fails, the chunk is queued and retried. Audio buffer is never retained beyond 30 seconds.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Anonymization Pipeline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Runs after session close. Applies full PII removal, entity replacement, and k-anonymity pre-check before transcript enters aggregation layer.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Blocking step — transcript cannot proceed to synthesis without passing anonymization gate. Failed transcripts are quarantined for manual review.</w:t>
            </w:r>
          </w:p>
        </w:tc>
      </w:tr>
    </w:tbl>
    <w:p>
      <w:pPr>
        <w:spacing w:after="0" w:before="100"/>
      </w:pPr>
      <w:r>
        <w:t xml:space="preserve"/>
      </w:r>
    </w:p>
    <w:p>
      <w:pPr>
        <w:pStyle w:val="Heading2"/>
        <w:spacing w:after="160" w:before="300"/>
      </w:pPr>
      <w:r>
        <w:rPr>
          <w:rFonts w:ascii="Arial" w:cs="Arial" w:eastAsia="Arial" w:hAnsi="Arial"/>
          <w:b/>
          <w:bCs/>
          <w:color w:val="2E86AB"/>
          <w:sz w:val="26"/>
          <w:szCs w:val="26"/>
        </w:rPr>
        <w:t xml:space="preserve">2.2 Model Exchangeability — The Provider Abstraction Layer</w:t>
      </w:r>
    </w:p>
    <w:p>
      <w:pPr>
        <w:spacing w:after="120" w:before="100"/>
      </w:pPr>
      <w:r>
        <w:rPr>
          <w:rFonts w:ascii="Arial" w:cs="Arial" w:eastAsia="Arial" w:hAnsi="Arial"/>
          <w:color w:val="555555"/>
          <w:sz w:val="22"/>
          <w:szCs w:val="22"/>
        </w:rPr>
        <w:t xml:space="preserve">Every LLM call goes through a provider abstraction interface, not directly to any vendor SDK. This is the most important architectural decision for long-term flexibility and compliance resilience. If Azure OpenAI changes its data residency terms, or if a better EU-native model emerges (Mistral, Aleph Alpha, or an on-premise model), you change one configuration value, not your codebase.</w:t>
      </w:r>
    </w:p>
    <w:p>
      <w:pPr>
        <w:spacing w:after="0" w:before="100"/>
      </w:pPr>
      <w:r>
        <w:t xml:space="preserve"/>
      </w:r>
    </w:p>
    <w:p>
      <w:pPr>
        <w:spacing w:after="120" w:before="100"/>
      </w:pPr>
      <w:r>
        <w:rPr>
          <w:rFonts w:ascii="Arial" w:cs="Arial" w:eastAsia="Arial" w:hAnsi="Arial"/>
          <w:color w:val="555555"/>
          <w:sz w:val="22"/>
          <w:szCs w:val="22"/>
        </w:rPr>
        <w:t xml:space="preserve">The interface contract is minimal by design:</w:t>
      </w:r>
    </w:p>
    <w:p>
      <w:pPr>
        <w:pStyle w:val="ListParagraph"/>
        <w:numPr>
          <w:ilvl w:val="0"/>
          <w:numId w:val="2"/>
        </w:numPr>
        <w:spacing w:after="60" w:before="60"/>
      </w:pPr>
      <w:r>
        <w:rPr>
          <w:rFonts w:ascii="Arial" w:cs="Arial" w:eastAsia="Arial" w:hAnsi="Arial"/>
          <w:color w:val="555555"/>
          <w:sz w:val="22"/>
          <w:szCs w:val="22"/>
        </w:rPr>
        <w:t xml:space="preserve">complete(systemPrompt: string, messages: Message[], config: ModelConfig): Promise&lt;string&gt;</w:t>
      </w:r>
    </w:p>
    <w:p>
      <w:pPr>
        <w:pStyle w:val="ListParagraph"/>
        <w:numPr>
          <w:ilvl w:val="0"/>
          <w:numId w:val="2"/>
        </w:numPr>
        <w:spacing w:after="60" w:before="60"/>
      </w:pPr>
      <w:r>
        <w:rPr>
          <w:rFonts w:ascii="Arial" w:cs="Arial" w:eastAsia="Arial" w:hAnsi="Arial"/>
          <w:color w:val="555555"/>
          <w:sz w:val="22"/>
          <w:szCs w:val="22"/>
        </w:rPr>
        <w:t xml:space="preserve">stream(systemPrompt: string, messages: Message[], config: ModelConfig): AsyncIterable&lt;string&gt;</w:t>
      </w:r>
    </w:p>
    <w:p>
      <w:pPr>
        <w:pStyle w:val="ListParagraph"/>
        <w:numPr>
          <w:ilvl w:val="0"/>
          <w:numId w:val="2"/>
        </w:numPr>
        <w:spacing w:after="60" w:before="60"/>
      </w:pPr>
      <w:r>
        <w:rPr>
          <w:rFonts w:ascii="Arial" w:cs="Arial" w:eastAsia="Arial" w:hAnsi="Arial"/>
          <w:color w:val="555555"/>
          <w:sz w:val="22"/>
          <w:szCs w:val="22"/>
        </w:rPr>
        <w:t xml:space="preserve">tokenCount(text: string): Promise&lt;number&gt;</w:t>
      </w:r>
    </w:p>
    <w:p>
      <w:pPr>
        <w:spacing w:after="0" w:before="100"/>
      </w:pPr>
      <w:r>
        <w:t xml:space="preserve"/>
      </w:r>
    </w:p>
    <w:p>
      <w:pPr>
        <w:spacing w:after="120" w:before="100"/>
      </w:pPr>
      <w:r>
        <w:rPr>
          <w:rFonts w:ascii="Arial" w:cs="Arial" w:eastAsia="Arial" w:hAnsi="Arial"/>
          <w:color w:val="555555"/>
          <w:sz w:val="22"/>
          <w:szCs w:val="22"/>
        </w:rPr>
        <w:t xml:space="preserve">Concrete implementations: AzureOpenAIProvider, MistralProvider, OllamaProvider (for on-premise), AnthropicProvider. Each implementation handles its own auth, retry logic, and response parsing. The Conversation Engine never knows which provider it is using.</w:t>
      </w:r>
    </w:p>
    <w:p>
      <w:pPr>
        <w:spacing w:after="0" w:before="100"/>
      </w:pPr>
      <w:r>
        <w:t xml:space="preserve"/>
      </w:r>
    </w:p>
    <w:p>
      <w:pPr>
        <w:spacing w:after="120" w:before="100"/>
      </w:pPr>
      <w:r>
        <w:rPr>
          <w:rFonts w:ascii="Arial" w:cs="Arial" w:eastAsia="Arial" w:hAnsi="Arial"/>
          <w:color w:val="555555"/>
          <w:sz w:val="22"/>
          <w:szCs w:val="22"/>
        </w:rPr>
        <w:t xml:space="preserve">Model configuration is environment-variable driven and version-pinned. A staging environment can run Mistral while production runs Azure OpenAI. Model selection is logged in the audit trail for every session — critical for auditability.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6"/>
              <w:bottom w:val="none"/>
              <w:right w:val="none"/>
            </w:tcBorders>
            <w:shd w:fill="E8F4FD" w:val="clear"/>
            <w:tcMar>
              <w:top w:type="dxa" w:w="120"/>
              <w:left w:type="dxa" w:w="200"/>
              <w:bottom w:type="dxa" w:w="120"/>
              <w:right w:type="dxa" w:w="200"/>
            </w:tcMar>
          </w:tcPr>
          <w:p>
            <w:pPr>
              <w:spacing w:after="0" w:before="0"/>
            </w:pPr>
            <w:r>
              <w:rPr>
                <w:rFonts w:ascii="Arial" w:cs="Arial" w:eastAsia="Arial" w:hAnsi="Arial"/>
                <w:i/>
                <w:iCs/>
                <w:color w:val="1B3A5C"/>
                <w:sz w:val="20"/>
                <w:szCs w:val="20"/>
              </w:rPr>
              <w:t xml:space="preserve">For on-premise deployments: Ollama + Mistral 7B or 22B runs adequately for conversation-quality tasks on a single A100 or H100. For synthesis/aggregation (higher reasoning load), a larger model or cloud route may be needed — this is a per-customer configuration, not a fixed architecture choice.</w:t>
            </w:r>
          </w:p>
        </w:tc>
      </w:tr>
    </w:tbl>
    <w:p>
      <w:pPr>
        <w:spacing w:after="0" w:before="100"/>
      </w:pPr>
      <w:r>
        <w:t xml:space="preserve"/>
      </w:r>
    </w:p>
    <w:p>
      <w:pPr>
        <w:pStyle w:val="Heading2"/>
        <w:spacing w:after="160" w:before="300"/>
      </w:pPr>
      <w:r>
        <w:rPr>
          <w:rFonts w:ascii="Arial" w:cs="Arial" w:eastAsia="Arial" w:hAnsi="Arial"/>
          <w:b/>
          <w:bCs/>
          <w:color w:val="2E86AB"/>
          <w:sz w:val="26"/>
          <w:szCs w:val="26"/>
        </w:rPr>
        <w:t xml:space="preserve">2.3 Interview Protocol Design</w:t>
      </w:r>
    </w:p>
    <w:p>
      <w:pPr>
        <w:spacing w:after="120" w:before="100"/>
      </w:pPr>
      <w:r>
        <w:rPr>
          <w:rFonts w:ascii="Arial" w:cs="Arial" w:eastAsia="Arial" w:hAnsi="Arial"/>
          <w:color w:val="555555"/>
          <w:sz w:val="22"/>
          <w:szCs w:val="22"/>
        </w:rPr>
        <w:t xml:space="preserve">The agent follows a structured interview protocol — not a rigid script. The protocol defines topic areas and minimum coverage requirements per role type. Within each topic area, the LLM generates contextually appropriate questions based on the conversation history and context pack. This produces interviews that feel natural while ensuring consistent coverage across the organisation.</w:t>
      </w:r>
    </w:p>
    <w:p>
      <w:pPr>
        <w:spacing w:after="0" w:before="100"/>
      </w:pPr>
      <w:r>
        <w:t xml:space="preserve"/>
      </w:r>
    </w:p>
    <w:p>
      <w:pPr>
        <w:spacing w:after="120" w:before="100"/>
      </w:pPr>
      <w:r>
        <w:rPr>
          <w:rFonts w:ascii="Arial" w:cs="Arial" w:eastAsia="Arial" w:hAnsi="Arial"/>
          <w:color w:val="555555"/>
          <w:sz w:val="22"/>
          <w:szCs w:val="22"/>
        </w:rPr>
        <w:t xml:space="preserve">Protocol branching is role-aware: an IC developer gets questions about tooling, blockers, and cross-team dependencies; a team lead gets questions about process ownership, resource constraints, and escalation paths; a manager gets questions about strategic alignment and organisational friction. The branching logic is a configuration file, not model-generated — it is auditable and version-controlled.</w:t>
      </w:r>
    </w:p>
    <w:p>
      <w:pPr>
        <w:spacing w:after="0" w:before="100"/>
      </w:pPr>
      <w:r>
        <w:t xml:space="preserve"/>
      </w:r>
    </w:p>
    <w:p>
      <w:r>
        <w:br w:type="page"/>
      </w:r>
    </w:p>
    <w:p>
      <w:pPr>
        <w:pStyle w:val="Heading1"/>
        <w:pBdr>
          <w:bottom w:val="single" w:color="2E86AB" w:sz="4" w:space="4"/>
        </w:pBdr>
        <w:spacing w:after="200" w:before="400"/>
      </w:pPr>
      <w:r>
        <w:rPr>
          <w:rFonts w:ascii="Arial" w:cs="Arial" w:eastAsia="Arial" w:hAnsi="Arial"/>
          <w:b/>
          <w:bCs/>
          <w:color w:val="1B3A5C"/>
          <w:sz w:val="32"/>
          <w:szCs w:val="32"/>
        </w:rPr>
        <w:t xml:space="preserve">3. Trust Building — Voice, Text, or Video?</w:t>
      </w:r>
    </w:p>
    <w:p>
      <w:pPr>
        <w:spacing w:after="120" w:before="100"/>
      </w:pPr>
      <w:r>
        <w:rPr>
          <w:rFonts w:ascii="Arial" w:cs="Arial" w:eastAsia="Arial" w:hAnsi="Arial"/>
          <w:color w:val="555555"/>
          <w:sz w:val="22"/>
          <w:szCs w:val="22"/>
        </w:rPr>
        <w:t xml:space="preserve">This is not primarily a technical question. It is a behavioural and organisational question with technical implications. The wrong modality choice costs you completion rates and data quality, regardless of how good the agent is.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80"/>
        <w:gridCol w:w="238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Voice</w:t>
            </w:r>
          </w:p>
        </w:tc>
        <w:tc>
          <w:tcPr>
            <w:tcW w:type="dxa" w:w="2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Text / Chat</w:t>
            </w:r>
          </w:p>
        </w:tc>
        <w:tc>
          <w:tcPr>
            <w:tcW w:type="dxa" w:w="2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Video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Trust &amp; rapport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 — voice signals warmth, listening, presence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 — feels more controlled and considered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Lower — performance anxiety, self-consciousness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Psychological safety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High — no visual self-monitoring</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Medium — written record feels permanent</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Low — employees feel observed and evaluated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Data richness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 — tone, hesitation, elaboration emerge naturally</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 — considered but often shorter responses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Highest — but impractical to analyse at scale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Infrastructure complexity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High — STT + TTS + VAD + latency budget</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Low — simple HTTP, no real-time constraints</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Very high — video codec, bandwidth, recording consent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Accessibility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Medium — language/accent variance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 — works on any device, any bandwidth</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Low — requires camera, stable connection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GDPR surface area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Medium — voice biometric risk, delete immediately after STT</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Low — text only, no biometric data</w:t>
            </w:r>
          </w:p>
        </w:tc>
        <w:tc>
          <w:tcPr>
            <w:tcW w:type="dxa" w:w="23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Very high — video is biometric data, high consent and retention burden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Latency tolerance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&lt;800ms per turn (critical)</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None — async</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Same as voice + video sync overhead</w:t>
            </w:r>
          </w:p>
        </w:tc>
      </w:tr>
    </w:tbl>
    <w:p>
      <w:pPr>
        <w:spacing w:after="0" w:before="100"/>
      </w:pPr>
      <w:r>
        <w:t xml:space="preserve"/>
      </w:r>
    </w:p>
    <w:p>
      <w:pPr>
        <w:pStyle w:val="Heading2"/>
        <w:spacing w:after="160" w:before="300"/>
      </w:pPr>
      <w:r>
        <w:rPr>
          <w:rFonts w:ascii="Arial" w:cs="Arial" w:eastAsia="Arial" w:hAnsi="Arial"/>
          <w:b/>
          <w:bCs/>
          <w:color w:val="2E86AB"/>
          <w:sz w:val="26"/>
          <w:szCs w:val="26"/>
        </w:rPr>
        <w:t xml:space="preserve">3.1 Recommendation: Voice-First with Text Fallback, No Video</w:t>
      </w:r>
    </w:p>
    <w:p>
      <w:pPr>
        <w:spacing w:after="120" w:before="100"/>
      </w:pPr>
      <w:r>
        <w:rPr>
          <w:rFonts w:ascii="Arial" w:cs="Arial" w:eastAsia="Arial" w:hAnsi="Arial"/>
          <w:color w:val="555555"/>
          <w:sz w:val="22"/>
          <w:szCs w:val="22"/>
        </w:rPr>
        <w:t xml:space="preserve">Voice is the right default. It produces richer data, builds rapport faster, and — because the employee cannot see themselves — removes the performance anxiety that video introduces. The absence of video is not a limitation; it is a design choice that increases openness.</w:t>
      </w:r>
    </w:p>
    <w:p>
      <w:pPr>
        <w:spacing w:after="0" w:before="100"/>
      </w:pPr>
      <w:r>
        <w:t xml:space="preserve"/>
      </w:r>
    </w:p>
    <w:p>
      <w:pPr>
        <w:spacing w:after="120" w:before="100"/>
      </w:pPr>
      <w:r>
        <w:rPr>
          <w:rFonts w:ascii="Arial" w:cs="Arial" w:eastAsia="Arial" w:hAnsi="Arial"/>
          <w:color w:val="555555"/>
          <w:sz w:val="22"/>
          <w:szCs w:val="22"/>
        </w:rPr>
        <w:t xml:space="preserve">Text fallback matters for accessibility, bandwidth-constrained environments, and employees who simply prefer it. Offer it without friction. Do not require justification.</w:t>
      </w:r>
    </w:p>
    <w:p>
      <w:pPr>
        <w:spacing w:after="0" w:before="100"/>
      </w:pPr>
      <w:r>
        <w:t xml:space="preserve"/>
      </w:r>
    </w:p>
    <w:p>
      <w:pPr>
        <w:spacing w:after="120" w:before="100"/>
      </w:pPr>
      <w:r>
        <w:rPr>
          <w:rFonts w:ascii="Arial" w:cs="Arial" w:eastAsia="Arial" w:hAnsi="Arial"/>
          <w:color w:val="555555"/>
          <w:sz w:val="22"/>
          <w:szCs w:val="22"/>
        </w:rPr>
        <w:t xml:space="preserve">Video is not recommended for v1 or likely v2. The biometric data burden under GDPR is substantial (explicit consent, strict retention limits, data subject rights), the infrastructure complexity is significant, and the psychological safety cost is real. It adds cost and risk without proportionate benefit over voice.</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3.2 Building Trust Through Design, Not Just Modality</w:t>
      </w:r>
    </w:p>
    <w:p>
      <w:pPr>
        <w:spacing w:after="120" w:before="100"/>
      </w:pPr>
      <w:r>
        <w:rPr>
          <w:rFonts w:ascii="Arial" w:cs="Arial" w:eastAsia="Arial" w:hAnsi="Arial"/>
          <w:color w:val="555555"/>
          <w:sz w:val="22"/>
          <w:szCs w:val="22"/>
        </w:rPr>
        <w:t xml:space="preserve">Modality is only one trust variable. The others matter equally:</w:t>
      </w:r>
    </w:p>
    <w:p>
      <w:pPr>
        <w:spacing w:after="0" w:before="100"/>
      </w:pPr>
      <w:r>
        <w:t xml:space="preserve"/>
      </w:r>
    </w:p>
    <w:p>
      <w:pPr>
        <w:pStyle w:val="ListParagraph"/>
        <w:numPr>
          <w:ilvl w:val="0"/>
          <w:numId w:val="2"/>
        </w:numPr>
        <w:spacing w:after="60" w:before="60"/>
      </w:pPr>
      <w:r>
        <w:rPr>
          <w:rFonts w:ascii="Arial" w:cs="Arial" w:eastAsia="Arial" w:hAnsi="Arial"/>
          <w:color w:val="555555"/>
          <w:sz w:val="22"/>
          <w:szCs w:val="22"/>
        </w:rPr>
        <w:t xml:space="preserve">Pre-interview communication: employees need to understand — in plain language — what happens to their responses, who sees what, and that the output is aggregated. Send this before the link, not at the start of the interview.</w:t>
      </w:r>
    </w:p>
    <w:p>
      <w:pPr>
        <w:pStyle w:val="ListParagraph"/>
        <w:numPr>
          <w:ilvl w:val="0"/>
          <w:numId w:val="2"/>
        </w:numPr>
        <w:spacing w:after="60" w:before="60"/>
      </w:pPr>
      <w:r>
        <w:rPr>
          <w:rFonts w:ascii="Arial" w:cs="Arial" w:eastAsia="Arial" w:hAnsi="Arial"/>
          <w:color w:val="555555"/>
          <w:sz w:val="22"/>
          <w:szCs w:val="22"/>
        </w:rPr>
        <w:t xml:space="preserve">Confirmation at the start of each interview: the agent states the privacy design out loud. Not a legal disclaimer — a human-readable commitment: "Nothing you say will be attributed to you by name. Your responses are combined with those of your colleagues before anyone reads them."</w:t>
      </w:r>
    </w:p>
    <w:p>
      <w:pPr>
        <w:pStyle w:val="ListParagraph"/>
        <w:numPr>
          <w:ilvl w:val="0"/>
          <w:numId w:val="2"/>
        </w:numPr>
        <w:spacing w:after="60" w:before="60"/>
      </w:pPr>
      <w:r>
        <w:rPr>
          <w:rFonts w:ascii="Arial" w:cs="Arial" w:eastAsia="Arial" w:hAnsi="Arial"/>
          <w:color w:val="555555"/>
          <w:sz w:val="22"/>
          <w:szCs w:val="22"/>
        </w:rPr>
        <w:t xml:space="preserve">Opt-out without consequence: employees should be able to stop mid-interview without explanation and without the fact of stopping being logged in a way that identifies them.</w:t>
      </w:r>
    </w:p>
    <w:p>
      <w:pPr>
        <w:pStyle w:val="ListParagraph"/>
        <w:numPr>
          <w:ilvl w:val="0"/>
          <w:numId w:val="2"/>
        </w:numPr>
        <w:spacing w:after="60" w:before="60"/>
      </w:pPr>
      <w:r>
        <w:rPr>
          <w:rFonts w:ascii="Arial" w:cs="Arial" w:eastAsia="Arial" w:hAnsi="Arial"/>
          <w:color w:val="555555"/>
          <w:sz w:val="22"/>
          <w:szCs w:val="22"/>
        </w:rPr>
        <w:t xml:space="preserve">Works council involvement: in German-speaking markets this is not optional. Involve the Betriebsrat in the design review before deployment. Their endorsement is the single most effective trust-building mechanism available.</w:t>
      </w:r>
    </w:p>
    <w:p>
      <w:pPr>
        <w:spacing w:after="0" w:before="100"/>
      </w:pPr>
      <w:r>
        <w:t xml:space="preserve"/>
      </w:r>
    </w:p>
    <w:p>
      <w:r>
        <w:br w:type="page"/>
      </w:r>
    </w:p>
    <w:p>
      <w:pPr>
        <w:pStyle w:val="Heading1"/>
        <w:pBdr>
          <w:bottom w:val="single" w:color="2E86AB" w:sz="4" w:space="4"/>
        </w:pBdr>
        <w:spacing w:after="200" w:before="400"/>
      </w:pPr>
      <w:r>
        <w:rPr>
          <w:rFonts w:ascii="Arial" w:cs="Arial" w:eastAsia="Arial" w:hAnsi="Arial"/>
          <w:b/>
          <w:bCs/>
          <w:color w:val="1B3A5C"/>
          <w:sz w:val="32"/>
          <w:szCs w:val="32"/>
        </w:rPr>
        <w:t xml:space="preserve">4. Synthesis Engine &amp; Knowledge Map</w:t>
      </w:r>
    </w:p>
    <w:p>
      <w:pPr>
        <w:spacing w:after="120" w:before="100"/>
      </w:pPr>
      <w:r>
        <w:rPr>
          <w:rFonts w:ascii="Arial" w:cs="Arial" w:eastAsia="Arial" w:hAnsi="Arial"/>
          <w:color w:val="555555"/>
          <w:sz w:val="22"/>
          <w:szCs w:val="22"/>
        </w:rPr>
        <w:t xml:space="preserve">The synthesis engine is a staged pipeline with hard gates between stages. Nothing moves forward without passing the gate. This is the only architecture that is defensible to a works council or a GDPR auditor.</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4.1 Pipeline Stages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000"/>
        <w:gridCol w:w="23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 Raw Transcript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Voice session or text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STT output (voice) or session log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Unprocessed transcript with timestamps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Audio buffer flushed — voice recording ceases to exist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 Pseudonymization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Raw transcript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NER-based PII detection + entity replacement. Names → [ROLE_ID]. Places → [LOCATION]. Dates → [TIMEFRAME].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Pseudonymized transcript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 raw transcript proceeds past this stage. Pseudonymized version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Quality Check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Pseudonymized transcript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Length check, coherence score, language detection. Flags incomplete or incoherent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Accepted / flagged transcript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Flagged transcripts quarantined for human review, not aggregated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4. Theme Extraction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Batch of accepted transcripts (min. threshold)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LLM with temperature=0 extracts themes, quotes (anonymized), and sentiment signals. Deterministic — same input, same output.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Theme candidates with source count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K-anonymity check: theme only proceeds if backed by ≥N sources (configurable, default 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 K-Anonymity Gate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Theme candidates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Count sources per theme. Below threshold → suppressed. Above threshold → promoted.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Validated theme 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Suppressed themes are discarded, not accumulated</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6. Knowledge Map Generation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Validated theme set + org context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Structured synthesis: themes by area, tension detection, confidence scoring, process mapping.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Knowledge Map draft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Human review gate before client delivery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 Human Review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Knowledge Map draft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Inplicit analyst reviews for hallucination, fabrication, and k-anonymity edge cases.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Approved Knowledge Map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Sign-off logged in audit trail with reviewer ID and timestamp</w:t>
            </w:r>
          </w:p>
        </w:tc>
      </w:tr>
    </w:tbl>
    <w:p>
      <w:pPr>
        <w:spacing w:after="0" w:before="100"/>
      </w:pPr>
      <w:r>
        <w:t xml:space="preserve"/>
      </w:r>
    </w:p>
    <w:p>
      <w:pPr>
        <w:pStyle w:val="Heading2"/>
        <w:spacing w:after="160" w:before="300"/>
      </w:pPr>
      <w:r>
        <w:rPr>
          <w:rFonts w:ascii="Arial" w:cs="Arial" w:eastAsia="Arial" w:hAnsi="Arial"/>
          <w:b/>
          <w:bCs/>
          <w:color w:val="2E86AB"/>
          <w:sz w:val="26"/>
          <w:szCs w:val="26"/>
        </w:rPr>
        <w:t xml:space="preserve">4.2 Determinism — The Auditability Requirement</w:t>
      </w:r>
    </w:p>
    <w:p>
      <w:pPr>
        <w:spacing w:after="120" w:before="100"/>
      </w:pPr>
      <w:r>
        <w:rPr>
          <w:rFonts w:ascii="Arial" w:cs="Arial" w:eastAsia="Arial" w:hAnsi="Arial"/>
          <w:color w:val="555555"/>
          <w:sz w:val="22"/>
          <w:szCs w:val="22"/>
        </w:rPr>
        <w:t xml:space="preserve">Stochastic LLM outputs are a liability in this context. If the same set of transcripts produces a different Knowledge Map on two runs, you cannot explain that to a works council or defend it in a dispute. All aggregation LLM calls use temperature=0. Intermediate outputs (theme candidates, extracted quotes) are cached with a content hash. If you re-run synthesis on the same transcript set, you get the same output — or the system flags a discrepancy and requires explanation.</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4.3 Preventing Hallucination in the Knowledge Map</w:t>
      </w:r>
    </w:p>
    <w:p>
      <w:pPr>
        <w:spacing w:after="120" w:before="100"/>
      </w:pPr>
      <w:r>
        <w:rPr>
          <w:rFonts w:ascii="Arial" w:cs="Arial" w:eastAsia="Arial" w:hAnsi="Arial"/>
          <w:color w:val="555555"/>
          <w:sz w:val="22"/>
          <w:szCs w:val="22"/>
        </w:rPr>
        <w:t xml:space="preserve">The aggregation prompt is constrained: the LLM is instructed to only report what is present in the provided transcript excerpts, cite source count for every claim, and explicitly flag when a theme is inferred rather than directly stated. The output format is structured JSON, not free text — this makes validation programmatic, not subjective.</w:t>
      </w:r>
    </w:p>
    <w:p>
      <w:pPr>
        <w:spacing w:after="0" w:before="100"/>
      </w:pPr>
      <w:r>
        <w:t xml:space="preserve"/>
      </w:r>
    </w:p>
    <w:p>
      <w:pPr>
        <w:spacing w:after="120" w:before="100"/>
      </w:pPr>
      <w:r>
        <w:rPr>
          <w:rFonts w:ascii="Arial" w:cs="Arial" w:eastAsia="Arial" w:hAnsi="Arial"/>
          <w:color w:val="555555"/>
          <w:sz w:val="22"/>
          <w:szCs w:val="22"/>
        </w:rPr>
        <w:t xml:space="preserve">A secondary validation pass uses a smaller, cheaper model to check the output JSON against the source excerpts: does every claim in the Knowledge Map have a traceable source in the excerpts? Claims without sources are automatically suppressed.</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4.4 Knowledge Map Output Structure</w:t>
      </w:r>
    </w:p>
    <w:p>
      <w:pPr>
        <w:pStyle w:val="ListParagraph"/>
        <w:numPr>
          <w:ilvl w:val="0"/>
          <w:numId w:val="2"/>
        </w:numPr>
        <w:spacing w:after="60" w:before="60"/>
      </w:pPr>
      <w:r>
        <w:rPr>
          <w:rFonts w:ascii="Arial" w:cs="Arial" w:eastAsia="Arial" w:hAnsi="Arial"/>
          <w:color w:val="555555"/>
          <w:sz w:val="22"/>
          <w:szCs w:val="22"/>
        </w:rPr>
        <w:t xml:space="preserve">Process area → theme clusters (with source count, not individual attribution)</w:t>
      </w:r>
    </w:p>
    <w:p>
      <w:pPr>
        <w:pStyle w:val="ListParagraph"/>
        <w:numPr>
          <w:ilvl w:val="0"/>
          <w:numId w:val="2"/>
        </w:numPr>
        <w:spacing w:after="60" w:before="60"/>
      </w:pPr>
      <w:r>
        <w:rPr>
          <w:rFonts w:ascii="Arial" w:cs="Arial" w:eastAsia="Arial" w:hAnsi="Arial"/>
          <w:color w:val="555555"/>
          <w:sz w:val="22"/>
          <w:szCs w:val="22"/>
        </w:rPr>
        <w:t xml:space="preserve">Tension map: themes in direct contradiction across sub-groups (e.g., "team A reports X; team B reports the opposite")</w:t>
      </w:r>
    </w:p>
    <w:p>
      <w:pPr>
        <w:pStyle w:val="ListParagraph"/>
        <w:numPr>
          <w:ilvl w:val="0"/>
          <w:numId w:val="2"/>
        </w:numPr>
        <w:spacing w:after="60" w:before="60"/>
      </w:pPr>
      <w:r>
        <w:rPr>
          <w:rFonts w:ascii="Arial" w:cs="Arial" w:eastAsia="Arial" w:hAnsi="Arial"/>
          <w:color w:val="555555"/>
          <w:sz w:val="22"/>
          <w:szCs w:val="22"/>
        </w:rPr>
        <w:t xml:space="preserve">Confidence tier: high (≥15 sources), medium (5–14 sources), suppressed (&lt;5 sources — not shown to client)</w:t>
      </w:r>
    </w:p>
    <w:p>
      <w:pPr>
        <w:pStyle w:val="ListParagraph"/>
        <w:numPr>
          <w:ilvl w:val="0"/>
          <w:numId w:val="2"/>
        </w:numPr>
        <w:spacing w:after="60" w:before="60"/>
      </w:pPr>
      <w:r>
        <w:rPr>
          <w:rFonts w:ascii="Arial" w:cs="Arial" w:eastAsia="Arial" w:hAnsi="Arial"/>
          <w:color w:val="555555"/>
          <w:sz w:val="22"/>
          <w:szCs w:val="22"/>
        </w:rPr>
        <w:t xml:space="preserve">Unanswered questions: areas where coverage was insufficient to draw conclusions</w:t>
      </w:r>
    </w:p>
    <w:p>
      <w:pPr>
        <w:pStyle w:val="ListParagraph"/>
        <w:numPr>
          <w:ilvl w:val="0"/>
          <w:numId w:val="2"/>
        </w:numPr>
        <w:spacing w:after="60" w:before="60"/>
      </w:pPr>
      <w:r>
        <w:rPr>
          <w:rFonts w:ascii="Arial" w:cs="Arial" w:eastAsia="Arial" w:hAnsi="Arial"/>
          <w:color w:val="555555"/>
          <w:sz w:val="22"/>
          <w:szCs w:val="22"/>
        </w:rPr>
        <w:t xml:space="preserve">Methodology note: number of interviews, role distribution, modality split, languages — all reported transparently</w:t>
      </w:r>
    </w:p>
    <w:p>
      <w:pPr>
        <w:spacing w:after="0" w:before="100"/>
      </w:pPr>
      <w:r>
        <w:t xml:space="preserve"/>
      </w:r>
    </w:p>
    <w:p>
      <w:r>
        <w:br w:type="page"/>
      </w:r>
    </w:p>
    <w:p>
      <w:pPr>
        <w:pStyle w:val="Heading1"/>
        <w:pBdr>
          <w:bottom w:val="single" w:color="2E86AB" w:sz="4" w:space="4"/>
        </w:pBdr>
        <w:spacing w:after="200" w:before="400"/>
      </w:pPr>
      <w:r>
        <w:rPr>
          <w:rFonts w:ascii="Arial" w:cs="Arial" w:eastAsia="Arial" w:hAnsi="Arial"/>
          <w:b/>
          <w:bCs/>
          <w:color w:val="1B3A5C"/>
          <w:sz w:val="32"/>
          <w:szCs w:val="32"/>
        </w:rPr>
        <w:t xml:space="preserve">5. Latency Measurement &amp; Targets</w:t>
      </w:r>
    </w:p>
    <w:p>
      <w:pPr>
        <w:spacing w:after="120" w:before="100"/>
      </w:pPr>
      <w:r>
        <w:rPr>
          <w:rFonts w:ascii="Arial" w:cs="Arial" w:eastAsia="Arial" w:hAnsi="Arial"/>
          <w:color w:val="555555"/>
          <w:sz w:val="22"/>
          <w:szCs w:val="22"/>
        </w:rPr>
        <w:t xml:space="preserve">Latency is not a monitoring concern — it is a product quality concern. A voice interview where the agent responds in &gt;1.5 seconds per turn feels broken. At &gt;2 seconds, employees disengage. The target is &lt;800ms from end of employee utterance to first audio byte from the agent. This is aggressive and requires measurement at every stage of the pipeline.</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5.1 Instrumentation Strategy</w:t>
      </w:r>
    </w:p>
    <w:p>
      <w:pPr>
        <w:spacing w:after="120" w:before="100"/>
      </w:pPr>
      <w:r>
        <w:rPr>
          <w:rFonts w:ascii="Arial" w:cs="Arial" w:eastAsia="Arial" w:hAnsi="Arial"/>
          <w:color w:val="555555"/>
          <w:sz w:val="22"/>
          <w:szCs w:val="22"/>
        </w:rPr>
        <w:t xml:space="preserve">Use OpenTelemetry for distributed tracing across all pipeline stages. Every voice turn produces a trace with spans for: VAD end-of-utterance detection, STT submission, STT response latency, context retrieval, LLM first-token latency, LLM completion latency, TTS submission, TTS first-audio-chunk latency, and total wall-clock turn latency.</w:t>
      </w:r>
    </w:p>
    <w:p>
      <w:pPr>
        <w:spacing w:after="0" w:before="100"/>
      </w:pPr>
      <w:r>
        <w:t xml:space="preserve"/>
      </w:r>
    </w:p>
    <w:p>
      <w:pPr>
        <w:spacing w:after="120" w:before="100"/>
      </w:pPr>
      <w:r>
        <w:rPr>
          <w:rFonts w:ascii="Arial" w:cs="Arial" w:eastAsia="Arial" w:hAnsi="Arial"/>
          <w:color w:val="555555"/>
          <w:sz w:val="22"/>
          <w:szCs w:val="22"/>
        </w:rPr>
        <w:t xml:space="preserve">Export traces to your observability stack (Grafana + Tempo is the recommended open-source option; it runs entirely on EU infrastructure). No traces leave EU infrastructure. Trace data contains no interview content — only timing metadata and session IDs.</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5.2 Target Latency Budget per Voice Turn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(P50)</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(P95)</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if Exceeded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VAD detection (end of utterance)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&lt;100ms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&lt;200ms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Tune VAD sensitivity; review silence threshold configuration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STT transcription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&lt;300ms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&lt;600ms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Switch to lower-latency STT model or provider; consider streaming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Context retrieval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&lt;50ms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&lt;150ms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Index org graph; pre-compute context pack at session start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LLM first token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&lt;250ms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&lt;500ms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Switch provider or model; reduce context window; use streaming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LLM completion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&lt;400ms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&lt;800ms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Limit max output tokens for conversational turns; tune prompt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TTS first audio chunk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&lt;200ms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&lt;400ms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Use streaming TTS; pre-buffer first chunk during LLM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Total (end-to-end)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&lt;700ms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&lt;1,400ms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Escalate to architecture review; consider edge deployment</w:t>
            </w:r>
          </w:p>
        </w:tc>
      </w:tr>
    </w:tbl>
    <w:p>
      <w:pPr>
        <w:spacing w:after="0" w:before="100"/>
      </w:pPr>
      <w:r>
        <w:t xml:space="preserve"/>
      </w:r>
    </w:p>
    <w:p>
      <w:pPr>
        <w:pStyle w:val="Heading2"/>
        <w:spacing w:after="160" w:before="300"/>
      </w:pPr>
      <w:r>
        <w:rPr>
          <w:rFonts w:ascii="Arial" w:cs="Arial" w:eastAsia="Arial" w:hAnsi="Arial"/>
          <w:b/>
          <w:bCs/>
          <w:color w:val="2E86AB"/>
          <w:sz w:val="26"/>
          <w:szCs w:val="26"/>
        </w:rPr>
        <w:t xml:space="preserve">5.3 Model Provider Latency Comparison</w:t>
      </w:r>
    </w:p>
    <w:p>
      <w:pPr>
        <w:spacing w:after="120" w:before="100"/>
      </w:pPr>
      <w:r>
        <w:rPr>
          <w:rFonts w:ascii="Arial" w:cs="Arial" w:eastAsia="Arial" w:hAnsi="Arial"/>
          <w:color w:val="555555"/>
          <w:sz w:val="22"/>
          <w:szCs w:val="22"/>
        </w:rPr>
        <w:t xml:space="preserve">Latency varies significantly by provider and model. Measure your actual providers in your deployment region — published benchmarks do not reflect real-world conditions under load. Run a weekly latency benchmark job that sends a fixed set of prompts to each configured provider and records P50/P95/P99. Use this data to drive routing decisions: if Provider A is 40% slower than Provider B at P95 this week, route production traffic to B.</w:t>
      </w:r>
    </w:p>
    <w:p>
      <w:pPr>
        <w:spacing w:after="0" w:before="100"/>
      </w:pPr>
      <w:r>
        <w:t xml:space="preserve"/>
      </w:r>
    </w:p>
    <w:p>
      <w:pPr>
        <w:spacing w:after="120" w:before="100"/>
      </w:pPr>
      <w:r>
        <w:rPr>
          <w:rFonts w:ascii="Arial" w:cs="Arial" w:eastAsia="Arial" w:hAnsi="Arial"/>
          <w:color w:val="555555"/>
          <w:sz w:val="22"/>
          <w:szCs w:val="22"/>
        </w:rPr>
        <w:t xml:space="preserve">This benchmark job also doubles as a provider health check and feeds into the latency SLA dashboard visible to the operations team.</w:t>
      </w:r>
    </w:p>
    <w:p>
      <w:pPr>
        <w:spacing w:after="0" w:before="100"/>
      </w:pPr>
      <w:r>
        <w:t xml:space="preserve"/>
      </w:r>
    </w:p>
    <w:p>
      <w:r>
        <w:br w:type="page"/>
      </w:r>
    </w:p>
    <w:p>
      <w:pPr>
        <w:pStyle w:val="Heading1"/>
        <w:pBdr>
          <w:bottom w:val="single" w:color="2E86AB" w:sz="4" w:space="4"/>
        </w:pBdr>
        <w:spacing w:after="200" w:before="400"/>
      </w:pPr>
      <w:r>
        <w:rPr>
          <w:rFonts w:ascii="Arial" w:cs="Arial" w:eastAsia="Arial" w:hAnsi="Arial"/>
          <w:b/>
          <w:bCs/>
          <w:color w:val="1B3A5C"/>
          <w:sz w:val="32"/>
          <w:szCs w:val="32"/>
        </w:rPr>
        <w:t xml:space="preserve">6. Security, Data Privacy &amp; Deployment Architecture</w:t>
      </w:r>
    </w:p>
    <w:p>
      <w:pPr>
        <w:spacing w:after="120" w:before="100"/>
      </w:pPr>
      <w:r>
        <w:rPr>
          <w:rFonts w:ascii="Arial" w:cs="Arial" w:eastAsia="Arial" w:hAnsi="Arial"/>
          <w:color w:val="555555"/>
          <w:sz w:val="22"/>
          <w:szCs w:val="22"/>
        </w:rPr>
        <w:t xml:space="preserve">In the German enterprise market, privacy is not a differentiator — it is a prerequisite. A single documented data residency violation or a breach of the anonymization promise destroys the product. This section treats privacy as a hard architectural constraint, not a feature.</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6.1 Deployment Models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EU SaaS (Managed)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Inplicit-operated, AWS eu-central-1 or Azure West Europe. All data stays in EU. DPAs in place with all vendors.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Mid-market companies without on-premise requirements. Fastest to deploy.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Low (for customer)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VPC Deployment (Customer Cloud)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Inplicit software deployed into customer's own AWS/Azure account in EU region. Customer owns the infrastructure; Inplicit manages the software layer.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Large enterprises that require data in their own cloud account. Good balance of control and manageability.</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On-Premise (Air-Gapped)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Full stack deployed on customer hardware. All models run locally (Whisper for STT, Ollama + Mistral for LLM, Coqui/Piper for TTS). No external API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Banks, insurance, public sector, defence-adjacent — any org where data cannot leave their data centre.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 (for Inplicit to support)</w:t>
            </w:r>
          </w:p>
        </w:tc>
      </w:tr>
    </w:tbl>
    <w:p>
      <w:pPr>
        <w:spacing w:after="0" w:before="100"/>
      </w:pPr>
      <w:r>
        <w:t xml:space="preserve"/>
      </w:r>
    </w:p>
    <w:p>
      <w:pPr>
        <w:spacing w:after="120" w:before="100"/>
      </w:pPr>
      <w:r>
        <w:rPr>
          <w:rFonts w:ascii="Arial" w:cs="Arial" w:eastAsia="Arial" w:hAnsi="Arial"/>
          <w:color w:val="555555"/>
          <w:sz w:val="22"/>
          <w:szCs w:val="22"/>
        </w:rPr>
        <w:t xml:space="preserve">Offer all three. Package them as SKUs: Inplicit Cloud, Inplicit Private Cloud, Inplicit On-Premise. Price accordingly. The on-premise SKU is not a concession — it is a premium product that unlocks a customer segment that cannot use any other solution.</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6.2 On-Premise Self-Hosted Stack</w:t>
      </w:r>
    </w:p>
    <w:p>
      <w:pPr>
        <w:spacing w:after="120" w:before="100"/>
      </w:pPr>
      <w:r>
        <w:rPr>
          <w:rFonts w:ascii="Arial" w:cs="Arial" w:eastAsia="Arial" w:hAnsi="Arial"/>
          <w:color w:val="555555"/>
          <w:sz w:val="22"/>
          <w:szCs w:val="22"/>
        </w:rPr>
        <w:t xml:space="preserve">For fully air-gapped deployments, the following open-source components replace all cloud API dependencies:</w:t>
      </w:r>
    </w:p>
    <w:p>
      <w:pPr>
        <w:spacing w:after="0" w:before="100"/>
      </w:pPr>
      <w:r>
        <w:t xml:space="preserve"/>
      </w:r>
    </w:p>
    <w:p>
      <w:pPr>
        <w:pStyle w:val="ListParagraph"/>
        <w:numPr>
          <w:ilvl w:val="0"/>
          <w:numId w:val="2"/>
        </w:numPr>
        <w:spacing w:after="60" w:before="60"/>
      </w:pPr>
      <w:r>
        <w:rPr>
          <w:rFonts w:ascii="Arial" w:cs="Arial" w:eastAsia="Arial" w:hAnsi="Arial"/>
          <w:color w:val="555555"/>
          <w:sz w:val="22"/>
          <w:szCs w:val="22"/>
        </w:rPr>
        <w:t xml:space="preserve">STT: OpenAI Whisper (self-hosted via faster-whisper on GPU). EU data, no API call, multilingual with dialect support. Latency on A100: ~150ms for a 15-second utterance.</w:t>
      </w:r>
    </w:p>
    <w:p>
      <w:pPr>
        <w:pStyle w:val="ListParagraph"/>
        <w:numPr>
          <w:ilvl w:val="0"/>
          <w:numId w:val="2"/>
        </w:numPr>
        <w:spacing w:after="60" w:before="60"/>
      </w:pPr>
      <w:r>
        <w:rPr>
          <w:rFonts w:ascii="Arial" w:cs="Arial" w:eastAsia="Arial" w:hAnsi="Arial"/>
          <w:color w:val="555555"/>
          <w:sz w:val="22"/>
          <w:szCs w:val="22"/>
        </w:rPr>
        <w:t xml:space="preserve">LLM (conversation): Mistral 7B Instruct or Mistral 22B via Ollama. Runs on-premise. For German language quality, Mistral significantly outperforms comparable-size alternatives.</w:t>
      </w:r>
    </w:p>
    <w:p>
      <w:pPr>
        <w:pStyle w:val="ListParagraph"/>
        <w:numPr>
          <w:ilvl w:val="0"/>
          <w:numId w:val="2"/>
        </w:numPr>
        <w:spacing w:after="60" w:before="60"/>
      </w:pPr>
      <w:r>
        <w:rPr>
          <w:rFonts w:ascii="Arial" w:cs="Arial" w:eastAsia="Arial" w:hAnsi="Arial"/>
          <w:color w:val="555555"/>
          <w:sz w:val="22"/>
          <w:szCs w:val="22"/>
        </w:rPr>
        <w:t xml:space="preserve">LLM (aggregation/synthesis): Mistral 22B or, if budget allows, a larger quantised model. The synthesis step is not real-time, so latency is less critical here.</w:t>
      </w:r>
    </w:p>
    <w:p>
      <w:pPr>
        <w:pStyle w:val="ListParagraph"/>
        <w:numPr>
          <w:ilvl w:val="0"/>
          <w:numId w:val="2"/>
        </w:numPr>
        <w:spacing w:after="60" w:before="60"/>
      </w:pPr>
      <w:r>
        <w:rPr>
          <w:rFonts w:ascii="Arial" w:cs="Arial" w:eastAsia="Arial" w:hAnsi="Arial"/>
          <w:color w:val="555555"/>
          <w:sz w:val="22"/>
          <w:szCs w:val="22"/>
        </w:rPr>
        <w:t xml:space="preserve">TTS: Coqui TTS or Piper TTS. Both support German, Austrian German, and Swiss German. Voice quality is below ElevenLabs but acceptable. For enterprise trust, a neutral professional voice is more appropriate than a highly expressive one anyway.</w:t>
      </w:r>
    </w:p>
    <w:p>
      <w:pPr>
        <w:pStyle w:val="ListParagraph"/>
        <w:numPr>
          <w:ilvl w:val="0"/>
          <w:numId w:val="2"/>
        </w:numPr>
        <w:spacing w:after="60" w:before="60"/>
      </w:pPr>
      <w:r>
        <w:rPr>
          <w:rFonts w:ascii="Arial" w:cs="Arial" w:eastAsia="Arial" w:hAnsi="Arial"/>
          <w:color w:val="555555"/>
          <w:sz w:val="22"/>
          <w:szCs w:val="22"/>
        </w:rPr>
        <w:t xml:space="preserve">Vector store: pgvector on PostgreSQL — already running for the org graph.</w:t>
      </w:r>
    </w:p>
    <w:p>
      <w:pPr>
        <w:pStyle w:val="ListParagraph"/>
        <w:numPr>
          <w:ilvl w:val="0"/>
          <w:numId w:val="2"/>
        </w:numPr>
        <w:spacing w:after="60" w:before="60"/>
      </w:pPr>
      <w:r>
        <w:rPr>
          <w:rFonts w:ascii="Arial" w:cs="Arial" w:eastAsia="Arial" w:hAnsi="Arial"/>
          <w:color w:val="555555"/>
          <w:sz w:val="22"/>
          <w:szCs w:val="22"/>
        </w:rPr>
        <w:t xml:space="preserve">Auth: Keycloak (self-hosted identity provider). Full OIDC/SAML support for enterprise SSO.</w:t>
      </w:r>
    </w:p>
    <w:p>
      <w:pPr>
        <w:pStyle w:val="ListParagraph"/>
        <w:numPr>
          <w:ilvl w:val="0"/>
          <w:numId w:val="2"/>
        </w:numPr>
        <w:spacing w:after="60" w:before="60"/>
      </w:pPr>
      <w:r>
        <w:rPr>
          <w:rFonts w:ascii="Arial" w:cs="Arial" w:eastAsia="Arial" w:hAnsi="Arial"/>
          <w:color w:val="555555"/>
          <w:sz w:val="22"/>
          <w:szCs w:val="22"/>
        </w:rPr>
        <w:t xml:space="preserve">Observability: Grafana + Loki + Tempo stack. All on-premise.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6"/>
              <w:bottom w:val="none"/>
              <w:right w:val="none"/>
            </w:tcBorders>
            <w:shd w:fill="E8F4FD" w:val="clear"/>
            <w:tcMar>
              <w:top w:type="dxa" w:w="120"/>
              <w:left w:type="dxa" w:w="200"/>
              <w:bottom w:type="dxa" w:w="120"/>
              <w:right w:type="dxa" w:w="200"/>
            </w:tcMar>
          </w:tcPr>
          <w:p>
            <w:pPr>
              <w:spacing w:after="0" w:before="0"/>
            </w:pPr>
            <w:r>
              <w:rPr>
                <w:rFonts w:ascii="Arial" w:cs="Arial" w:eastAsia="Arial" w:hAnsi="Arial"/>
                <w:i/>
                <w:iCs/>
                <w:color w:val="1B3A5C"/>
                <w:sz w:val="20"/>
                <w:szCs w:val="20"/>
              </w:rPr>
              <w:t xml:space="preserve">Tobias's principle applies here: boring infrastructure for the data layer, interesting product for the interview layer. PostgreSQL + Keycloak + standard K8s is not exciting but it survives a security audit without surprises. The interesting engineering is in the conversation quality and the anonymization pipeline — not in the infrastructure stack.</w:t>
            </w:r>
          </w:p>
        </w:tc>
      </w:tr>
    </w:tbl>
    <w:p>
      <w:pPr>
        <w:spacing w:after="0" w:before="100"/>
      </w:pPr>
      <w:r>
        <w:t xml:space="preserve"/>
      </w:r>
    </w:p>
    <w:p>
      <w:pPr>
        <w:pStyle w:val="Heading2"/>
        <w:spacing w:after="160" w:before="300"/>
      </w:pPr>
      <w:r>
        <w:rPr>
          <w:rFonts w:ascii="Arial" w:cs="Arial" w:eastAsia="Arial" w:hAnsi="Arial"/>
          <w:b/>
          <w:bCs/>
          <w:color w:val="2E86AB"/>
          <w:sz w:val="26"/>
          <w:szCs w:val="26"/>
        </w:rPr>
        <w:t xml:space="preserve">6.3 PII &amp; Anonymization Architecture</w:t>
      </w:r>
    </w:p>
    <w:p>
      <w:pPr>
        <w:spacing w:after="120" w:before="100"/>
      </w:pPr>
      <w:r>
        <w:rPr>
          <w:rFonts w:ascii="Arial" w:cs="Arial" w:eastAsia="Arial" w:hAnsi="Arial"/>
          <w:color w:val="555555"/>
          <w:sz w:val="22"/>
          <w:szCs w:val="22"/>
        </w:rPr>
        <w:t xml:space="preserve">The anonymization pipeline is the core IP. It must be owned, auditable, and tested — not delegated to a vendor or an LLM prompt. The design:</w:t>
      </w:r>
    </w:p>
    <w:p>
      <w:pPr>
        <w:spacing w:after="0" w:before="100"/>
      </w:pPr>
      <w:r>
        <w:t xml:space="preserve"/>
      </w:r>
    </w:p>
    <w:p>
      <w:pPr>
        <w:pStyle w:val="ListParagraph"/>
        <w:numPr>
          <w:ilvl w:val="0"/>
          <w:numId w:val="2"/>
        </w:numPr>
        <w:spacing w:after="60" w:before="60"/>
      </w:pPr>
      <w:r>
        <w:rPr>
          <w:rFonts w:ascii="Arial" w:cs="Arial" w:eastAsia="Arial" w:hAnsi="Arial"/>
          <w:color w:val="555555"/>
          <w:sz w:val="22"/>
          <w:szCs w:val="22"/>
        </w:rPr>
        <w:t xml:space="preserve">Stage 1 — Voice biometric elimination: Audio buffer flushed immediately after STT processing. No voice recording stored anywhere. This is a hard constraint enforced in the Turn Manager, not a policy.</w:t>
      </w:r>
    </w:p>
    <w:p>
      <w:pPr>
        <w:pStyle w:val="ListParagraph"/>
        <w:numPr>
          <w:ilvl w:val="0"/>
          <w:numId w:val="2"/>
        </w:numPr>
        <w:spacing w:after="60" w:before="60"/>
      </w:pPr>
      <w:r>
        <w:rPr>
          <w:rFonts w:ascii="Arial" w:cs="Arial" w:eastAsia="Arial" w:hAnsi="Arial"/>
          <w:color w:val="555555"/>
          <w:sz w:val="22"/>
          <w:szCs w:val="22"/>
        </w:rPr>
        <w:t xml:space="preserve">Stage 2 — Named entity recognition: Custom NER model fine-tuned on German/Austrian/Swiss German HR vocabulary. Detects and replaces names, locations, organisation names, project names, and date references in transcript text. NER runs on-premise regardless of deployment model.</w:t>
      </w:r>
    </w:p>
    <w:p>
      <w:pPr>
        <w:pStyle w:val="ListParagraph"/>
        <w:numPr>
          <w:ilvl w:val="0"/>
          <w:numId w:val="2"/>
        </w:numPr>
        <w:spacing w:after="60" w:before="60"/>
      </w:pPr>
      <w:r>
        <w:rPr>
          <w:rFonts w:ascii="Arial" w:cs="Arial" w:eastAsia="Arial" w:hAnsi="Arial"/>
          <w:color w:val="555555"/>
          <w:sz w:val="22"/>
          <w:szCs w:val="22"/>
        </w:rPr>
        <w:t xml:space="preserve">Stage 3 — Structural pseudonymization: Employee IDs replaced with session-scoped random tokens. The mapping table (token → employee ID) is stored separately, access-controlled, and never enters the aggregation layer.</w:t>
      </w:r>
    </w:p>
    <w:p>
      <w:pPr>
        <w:pStyle w:val="ListParagraph"/>
        <w:numPr>
          <w:ilvl w:val="0"/>
          <w:numId w:val="2"/>
        </w:numPr>
        <w:spacing w:after="60" w:before="60"/>
      </w:pPr>
      <w:r>
        <w:rPr>
          <w:rFonts w:ascii="Arial" w:cs="Arial" w:eastAsia="Arial" w:hAnsi="Arial"/>
          <w:color w:val="555555"/>
          <w:sz w:val="22"/>
          <w:szCs w:val="22"/>
        </w:rPr>
        <w:t xml:space="preserve">Stage 4 — K-anonymity enforcement at output: No theme, quote, or finding appears in the Knowledge Map unless it is backed by at least N distinct session tokens (default 5, configurable per engagement). This is enforced programmatically, not by convention.</w:t>
      </w:r>
    </w:p>
    <w:p>
      <w:pPr>
        <w:pStyle w:val="ListParagraph"/>
        <w:numPr>
          <w:ilvl w:val="0"/>
          <w:numId w:val="2"/>
        </w:numPr>
        <w:spacing w:after="60" w:before="60"/>
      </w:pPr>
      <w:r>
        <w:rPr>
          <w:rFonts w:ascii="Arial" w:cs="Arial" w:eastAsia="Arial" w:hAnsi="Arial"/>
          <w:color w:val="555555"/>
          <w:sz w:val="22"/>
          <w:szCs w:val="22"/>
        </w:rPr>
        <w:t xml:space="preserve">Stage 5 — Differential privacy (v2 roadmap): Add calibrated noise to quantitative outputs (frequency counts, percentages) to prevent re-identification through statistical inference. Not required for v1 but should be in the architecture from the start.</w:t>
      </w:r>
    </w:p>
    <w:p>
      <w:pPr>
        <w:spacing w:after="0" w:before="100"/>
      </w:pPr>
      <w:r>
        <w:t xml:space="preserve"/>
      </w:r>
    </w:p>
    <w:p>
      <w:pPr>
        <w:pStyle w:val="Heading2"/>
        <w:spacing w:after="160" w:before="300"/>
      </w:pPr>
      <w:r>
        <w:rPr>
          <w:rFonts w:ascii="Arial" w:cs="Arial" w:eastAsia="Arial" w:hAnsi="Arial"/>
          <w:b/>
          <w:bCs/>
          <w:color w:val="2E86AB"/>
          <w:sz w:val="26"/>
          <w:szCs w:val="26"/>
        </w:rPr>
        <w:t xml:space="preserve">6.4 Access Control Model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Cannot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Inplicit Platform 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 health, audit logs (metadata only), deployment configuration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Any interview content, any transcript, any Knowledge Map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Inplicit Analyst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Pseudonymized transcripts (post-anonymization), Knowledge Map draft for review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Raw transcripts, employee-token mapping table, audio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 HR 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Final approved Knowledge Map, aggregate statistics, methodology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Individual transcripts, session details, employee-token mapping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Works Council Representative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Methodology documentation, k-anonymity configuration, audit log summary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Any individual interview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Employee (Interviewee)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Their own session transcript (on request, via data subject access right)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Any other employee's data</w:t>
            </w:r>
          </w:p>
        </w:tc>
      </w:tr>
    </w:tbl>
    <w:p>
      <w:pPr>
        <w:spacing w:after="0" w:before="100"/>
      </w:pPr>
      <w:r>
        <w:t xml:space="preserve"/>
      </w:r>
    </w:p>
    <w:p>
      <w:pPr>
        <w:pStyle w:val="Heading2"/>
        <w:spacing w:after="160" w:before="300"/>
      </w:pPr>
      <w:r>
        <w:rPr>
          <w:rFonts w:ascii="Arial" w:cs="Arial" w:eastAsia="Arial" w:hAnsi="Arial"/>
          <w:b/>
          <w:bCs/>
          <w:color w:val="2E86AB"/>
          <w:sz w:val="26"/>
          <w:szCs w:val="26"/>
        </w:rPr>
        <w:t xml:space="preserve">6.5 Audit Trail Requirements</w:t>
      </w:r>
    </w:p>
    <w:p>
      <w:pPr>
        <w:spacing w:after="120" w:before="100"/>
      </w:pPr>
      <w:r>
        <w:rPr>
          <w:rFonts w:ascii="Arial" w:cs="Arial" w:eastAsia="Arial" w:hAnsi="Arial"/>
          <w:color w:val="555555"/>
          <w:sz w:val="22"/>
          <w:szCs w:val="22"/>
        </w:rPr>
        <w:t xml:space="preserve">Every data access event, every model call, every Knowledge Map generation, and every human review action must be logged in an append-only audit log. The audit log is the evidence trail that makes the system defensible under GDPR Art. 5(2) (accountability principle).</w:t>
      </w:r>
    </w:p>
    <w:p>
      <w:pPr>
        <w:spacing w:after="0" w:before="100"/>
      </w:pPr>
      <w:r>
        <w:t xml:space="preserve"/>
      </w:r>
    </w:p>
    <w:p>
      <w:pPr>
        <w:spacing w:after="120" w:before="100"/>
      </w:pPr>
      <w:r>
        <w:rPr>
          <w:rFonts w:ascii="Arial" w:cs="Arial" w:eastAsia="Arial" w:hAnsi="Arial"/>
          <w:color w:val="555555"/>
          <w:sz w:val="22"/>
          <w:szCs w:val="22"/>
        </w:rPr>
        <w:t xml:space="preserve">Log entries include: timestamp, actor (user ID or system component ID), action type, object type and ID (not content), and outcome. No log entry ever contains interview content — only references to objects that contain content. The audit log itself must be stored on EU infrastructure and retained for the duration required by the applicable DPA.</w:t>
      </w:r>
    </w:p>
    <w:p>
      <w:pPr>
        <w:spacing w:after="0" w:before="100"/>
      </w:pPr>
      <w:r>
        <w:t xml:space="preserve"/>
      </w:r>
    </w:p>
    <w:p>
      <w:r>
        <w:br w:type="page"/>
      </w:r>
    </w:p>
    <w:p>
      <w:pPr>
        <w:pStyle w:val="Heading1"/>
        <w:pBdr>
          <w:bottom w:val="single" w:color="2E86AB" w:sz="4" w:space="4"/>
        </w:pBdr>
        <w:spacing w:after="200" w:before="400"/>
      </w:pPr>
      <w:r>
        <w:rPr>
          <w:rFonts w:ascii="Arial" w:cs="Arial" w:eastAsia="Arial" w:hAnsi="Arial"/>
          <w:b/>
          <w:bCs/>
          <w:color w:val="1B3A5C"/>
          <w:sz w:val="32"/>
          <w:szCs w:val="32"/>
        </w:rPr>
        <w:t xml:space="preserve">7. Summary — Architecture Decisions at a Glance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Area</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Approach</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Org context ingestion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Graph DB (pgvector/PostgreSQL) from Outlook, Slack, SAP, Celonis — metadata only, no content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Minimum necessary data; single DPA; graph enables rich context retrieval without storing full data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LLM abstraction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Provider interface with pluggable implementations (Azure, Mistral, Ollama)</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Vendor independence; compliance resilience; enables on-premise swap without code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Interview modality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Voice-first, text fallback, no video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Best data quality + psychological safety; lowest GDPR surface area vs. video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Anonymization</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Custom pipeline: NER + pseudonymization + k-anonymity gate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Core IP; cannot be delegated; must be auditable and deterministic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Synthesis determinism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temperature=0, content-hashed intermediates, structured JSON 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Auditability requirement; explainability to works council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Latency target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&lt;800ms total voice turn; OpenTelemetry tracing across all stages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Product quality threshold; instrumented for routing decisions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Deployment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Three SKUs: Managed EU SaaS, VPC, On-Premise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Unlocks enterprise segments; on-premise is a premium, not a concession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Hosting stack</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PostgreSQL + Keycloak + K8s + Grafana; Whisper + Mistral + Coqui for on-premise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Boring infrastructure; auditable; DPA-straightforward; no exotic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K-anonymity threshold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 sources per theme (configurable)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Prevents re-identification; configurable for customer-specific risk appetite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86AB" w:sz="16"/>
              <w:bottom w:val="none"/>
              <w:right w:val="none"/>
            </w:tcBorders>
            <w:shd w:fill="E8F4FD" w:val="clear"/>
            <w:tcMar>
              <w:top w:type="dxa" w:w="120"/>
              <w:left w:type="dxa" w:w="200"/>
              <w:bottom w:type="dxa" w:w="120"/>
              <w:right w:type="dxa" w:w="200"/>
            </w:tcMar>
          </w:tcPr>
          <w:p>
            <w:pPr>
              <w:spacing w:after="0" w:before="0"/>
            </w:pPr>
            <w:r>
              <w:rPr>
                <w:rFonts w:ascii="Arial" w:cs="Arial" w:eastAsia="Arial" w:hAnsi="Arial"/>
                <w:i/>
                <w:iCs/>
                <w:color w:val="1B3A5C"/>
                <w:sz w:val="20"/>
                <w:szCs w:val="20"/>
              </w:rPr>
              <w:t xml:space="preserve">The highest-risk architectural decision is not the LLM choice or the voice stack — it is the anonymization pipeline. Design it first. Test it with adversarial inputs. Have it reviewed independently before any real interview data touches it. Everything else can be iterated. The anonymization promise cannot be walked back once broken.</w:t>
            </w:r>
          </w:p>
        </w:tc>
      </w:tr>
    </w:tbl>
    <w:p>
      <w:pPr>
        <w:spacing w:after="0" w:before="200"/>
      </w:pPr>
      <w:r>
        <w:t xml:space="preserve"/>
      </w:r>
    </w:p>
    <w:p>
      <w:pPr>
        <w:spacing w:before="400"/>
        <w:jc w:val="center"/>
      </w:pPr>
      <w:r>
        <w:rPr>
          <w:rFonts w:ascii="Arial" w:cs="Arial" w:eastAsia="Arial" w:hAnsi="Arial"/>
          <w:i/>
          <w:iCs/>
          <w:color w:val="CCCCCC"/>
          <w:sz w:val="18"/>
          <w:szCs w:val="18"/>
        </w:rPr>
        <w:t xml:space="preserve">Inplicit — Confidential Technical Brief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CCCCCC"/>
        <w:sz w:val="18"/>
        <w:szCs w:val="18"/>
      </w:rPr>
      <w:t xml:space="preserve">Page </w:t>
    </w:r>
    <w:r>
      <w:rPr>
        <w:rFonts w:ascii="Arial" w:cs="Arial" w:eastAsia="Arial" w:hAnsi="Arial"/>
        <w:color w:val="CCCCCC"/>
        <w:sz w:val="18"/>
        <w:szCs w:val="18"/>
      </w:rPr>
      <w:fldChar w:fldCharType="begin"/>
      <w:instrText xml:space="preserve">PAGE</w:instrText>
      <w:fldChar w:fldCharType="separate"/>
      <w:fldChar w:fldCharType="end"/>
    </w:r>
    <w:r>
      <w:rPr>
        <w:rFonts w:ascii="Arial" w:cs="Arial" w:eastAsia="Arial" w:hAnsi="Arial"/>
        <w:color w:val="CCCCCC"/>
        <w:sz w:val="18"/>
        <w:szCs w:val="18"/>
      </w:rPr>
      <w:t xml:space="preserve"> of </w:t>
    </w:r>
    <w:r>
      <w:rPr>
        <w:rFonts w:ascii="Arial" w:cs="Arial" w:eastAsia="Arial" w:hAnsi="Arial"/>
        <w:color w:val="CCCCC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b/>
        <w:bCs/>
        <w:color w:val="1B3A5C"/>
        <w:sz w:val="20"/>
        <w:szCs w:val="20"/>
      </w:rPr>
      <w:t xml:space="preserve">Inplicit</w:t>
    </w:r>
    <w:r>
      <w:rPr>
        <w:rFonts w:ascii="Arial" w:cs="Arial" w:eastAsia="Arial" w:hAnsi="Arial"/>
        <w:color w:val="CCCCCC"/>
        <w:sz w:val="20"/>
        <w:szCs w:val="20"/>
      </w:rPr>
      <w:t xml:space="preserve">  |  Technical Architecture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86A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2026-04-22T15:40:29.442Z</dcterms:created>
  <dcterms:modified xsi:type="dcterms:W3CDTF">2026-04-22T15:40:29.444Z</dcterms:modified>
</cp:coreProperties>
</file>

<file path=docProps/custom.xml><?xml version="1.0" encoding="utf-8"?>
<Properties xmlns="http://schemas.openxmlformats.org/officeDocument/2006/custom-properties" xmlns:vt="http://schemas.openxmlformats.org/officeDocument/2006/docPropsVTypes"/>
</file>