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шаблони OID, пристрої;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працюють сервіси: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активним; попередня версія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Читає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видаляються, лише якщо на них не посилається жоден пристрій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Зниклі з файлу — спершу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(їхні IP звільняються); далі 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IP, зайнятий іншим активним пристроєм,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файл і обчислити SHA-256. Якщо версія з такою контрольною сумою вже активна, нічого не змінювати; якщо вона застосовувалася раніше, зробити її знову активною.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Перевірити файл: лише відомі розділи й ключі, без дублікатів ключів, імен та IP-адрес; числа, IP-адреси та OID правильного типу;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до БД нічого не надсилається.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 або знову активувати наявний;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(невідомий вузол, метрика чи профіль,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забезпечують зовнішні ключі: вузол, профіль, метрика й обліковий запис, указані у файлі, мають існувати в БД, інакше вставка порушує NOT NULL або FK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5); крайові випадки в табл. 5 додано за результатами тестування (п. 5.8).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ця версія вже активна,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Повернення до попереднього вмісту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знову активна, таблиці синхронізовано з нею; подія в журналі з ознакою повторної активації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Зміна IP пристрою з тим самим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 оновлено в наявному записі, історія показників збереглася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Дублікат IP чи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файлі; IPv4-mapped адреса; дублікат ключа 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Новий пристрій з IP іншого активного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прибрано з файлу, а його IP віддано новому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Старий запис деактивовано разом з історією, новий створено з тим самим IP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метрики; невідомий вузол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чи в іншому ключі; текст замість числа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(спроба SQL-ін’єкції)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яким користуються лише деактивовані пристрої / який не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лишається / видаляється; помилки немає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IP-адреса; ім’я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Перелік зв’язків, їхню кардинальність та обов’язковість участі наведено в табл. 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IP-адреса,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логічну модель у нотації «воронячої лапки» (crow’s foot) — усі 15 відношень з атрибутами, ключами та зв’язками — наведено на рис. 3 (аркуш формату А3). Розташування таблиць на рис. 3 і на повній фізичній моделі (рис. 4) однакове, тому моделі зручно порівнювати.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sectPr>
          <w:footerReference w:type="default" r:id="rId12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на який посилаються пристрої,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«.»; e-mail зберігається в нижньому регістрі й унікальний без урахування регістру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унікальна серед активних пристроїв (адресу виведеного з експлуатації пристрою можна віддати новому), є адресою вузла (не мережі) і не записана як IPv4-mapped IPv6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не більше 60 с (FR-04)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 в обидва боки: дата етапу заповнена тоді й лише тоді, коли інцидент дійшов до цього етапу; прийнятий має відповідального, закритий — коментар; дати не раніші за відкриття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 відправлення заповнений лише в надісланого сповіщення, текст помилки — лише в невдалого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не втрачається: обладнання та користувачі з історією лише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непорожнє ім’я користувача,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Посилання YAML (вузол, профіль, метрика, обліковий запис) мають існувати в БД;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транзакція процедури застосування (ЛР2)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автотест </w:t>
      </w:r>
      <w:r>
        <w:rPr>
          <w:rFonts w:ascii="Courier New" w:cs="Courier New" w:eastAsia="Courier New" w:hAnsi="Courier New"/>
          <w:sz w:val="22"/>
          <w:szCs w:val="22"/>
        </w:rPr>
        <w:t xml:space="preserve">sql/tests_constraints.sql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підтвердив, що 47 некоректних вставок і змін відхиляються саме тими обмеженнями, для яких їх складено, а повний життєвий цикл інциденту (new → acknowledged → resolved → closed) пройшов успішно. Зв’язок із YAML-файлом перевірено окремо (п. 3.2, табл. 5), повну програму тестування описано в п. 5.8.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усі 15 таблиць із типами даних PostgreSQL, ключами й обмеженнями NOT NULL / UNIQUE та всі 23 зовнішні ключі — наведено на рис. 4 (аркуш формату А3). Для друку на аркушах А4 цю саму модель подано також трьома фрагментами за предметними підобластями: «Обладнання та телеметрія» (рис. 5), «Конфігурація SNMP» (рис. 6) та «Користувачі, інциденти, сповіщення» (рис. 7); таблиці з іншої підобласті показано на фрагментах пунктирними заглушками. Позначення: NN — NOT NULL, UQ — UNIQUE, ID — GENERATED ALWAYS AS IDENTITY, «partitioned» — секціонована таблиця.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 бази даних (повна схема, PostgreSQL)</w:t>
      </w:r>
    </w:p>
    <w:p>
      <w:pPr>
        <w:sectPr>
          <w:footerReference w:type="default" r:id="rId14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6675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229350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32 767 достатній;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кожному рядку телеметрії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ручне задання ключа можливе лише явно (OVERRIDING SYSTEM VALUE)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12); до таблиці включено також індекс первинного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pk_metric_reading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 який спираються запити до телеметрії. Свідомий виняток — зовнішній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окремий індекс за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metric_reading.metric_id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додав би ≈ 30 Б на кожен рядок найбільшої таблиці лише для того, щоб прискорити рідкісне видалення метрики з довідника. Часткові індекси (з умовою WHERE) охоплюють лише «гарячу» частину даних — відкриті інциденти, повідомлення в черзі — і тому залишаються малими.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(credential_id),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DESC), (equipment_id,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16 місячних секцій — від трьох місяців перед поточним до дванадцяти місяців наперед — і секцію за замовчуванням; межі секцій рахуються в UTC незалежно від налаштувань клієнта (</w:t>
      </w:r>
      <w:r>
        <w:rPr>
          <w:rFonts w:ascii="Courier New" w:cs="Courier New" w:eastAsia="Courier New" w:hAnsi="Courier New"/>
          <w:sz w:val="22"/>
          <w:szCs w:val="22"/>
        </w:rPr>
        <w:t xml:space="preserve">SET TIME ZONE 'UTC'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початку скрипту). Створення наступних секцій і видалення старих автоматизує процедура обслуговування, яку буде розроблено в лабораторній роботі №2. Вона має створювати секції наперед: якщо показник за майбутній місяць уже потрапив у секцію за замовчуванням, секцію для цього місяця не вдасться створити, доки його не перенесено.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2"/>
        <w:keepNext/>
        <w:spacing w:after="120" w:before="220"/>
      </w:pPr>
      <w:r>
        <w:t xml:space="preserve">5.8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п’ятьма незалежними напрямами тестування; кожен напрям виконувався в окремій базі, а кожну заявлену проблему окремо відтворював і намагався спростувати другий перевіряльник. Підсумки наведено в табл. 14, час виконання типових запитів — у табл. 15.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Напрями тестування та результати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00"/>
        <w:gridCol w:w="32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DDL і автотест обмежень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 порожній і заповненій БД; мутаційна перевірка (видалено два CHECK — автотест має це виявити); межі секцій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Склад збігається зі звітом (15 таблиць, 12 ENUM, 90 обмежень, 28 індексів, 17 секцій); автотест — 47 з 47; після видалення двох CHECK автотест дав 2 FAIL і код помилки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 сценарії: типові (табл. 5) і крайові — зміна IP, дублікати, повторне використання IP, повернення до старої версії, некоректний YAML, спроби SQL-ін’єкції, секрети в нестандартних ключах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Виявлено дефекти прототипу завантажувача: злиття пристроїв з однаковим IP, неможливість змінити IP, SQL-ін’єкція через числові поля, секрет у нестандартному ключі, слабка перевірка файлу. Усі виправлено; повторний прогін — без помилок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(0,7 і 3,6 млн рядків); 10 типових запитів сервісів з EXPLAIN ANALYZE; розмір рядка; від’єднання секції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типові запити — у межах NFR-01 (&lt; 2 с); розмір рядка 96,7 Б (у звіті 96,6 Б); DETACH секції — 6 мс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Узгодженість звіту з БД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усіх полів у розділі 6 порівняно з каталогом PostgreSQL; числа, таблиці індексів, ENUM, FK, бізнес-правил; посилання; діаграми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Розділ 6 і діаграми збігаються з БД; уточнено табл. 4 і 12, додано посилання на таблиці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некоректні дані: дублікати за регістром, IPv4-mapped адреси, суперечливі статуси та дати інцидентів, порожні імена тощо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прогалин закрито посиленням CHECK (автотест доповнено перевірками № 41–47); правила, що потребують процедурної логіки, віднесено до ЛР2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Час виконання типових запитів (NFR-01: &lt; 2 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50"/>
        <w:gridCol w:w="1250"/>
        <w:gridCol w:w="3255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Запит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100 пристроїв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500 пристроїв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Як виконується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циклу опитування (2 500 показників)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INSERT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(LATERAL … LIMIT 1)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Зворотне сканування PK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за останні 15 хв (DISTINCT ON)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BRIN, відсікання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(equipment ⋈ snmp_credential ⋈ snmp_oid_map ⋈ metric)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Hash Join малих таблиць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24 год (date_bin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секції; відсікання 16 з 17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 за добу по всьому парку (avg/min/max)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528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Відсікання секцій, паралельне сканування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Антифлуд (сповіщення за 10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(Index Only Scan)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(new, старші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за період і вузол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Uptime за добу для кожного пристрою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секції, відсікання секцій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тестування до здачі виправлено: узгодженість статусу інциденту з датами в обидва боки й порівняння всіх дат з моментом відкриття; унікальність e-mail без урахування регістру; заборону IPv4-mapped адрес і порожнього імені користувача SNMP v3; унікальність IP лише серед активних пристроїв (адресу списаного пристрою можна віддати новому); узгодженість стану сповіщення з часом відправлення та текстом помилки; межі секцій в UTC. Завантажувач YAML тепер суворо перевіряє файл, ідентифікує пристрої за назвою, не допускає SQL-ін’єкцій і повертає до активного стану раніше застосовану версію.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Рекомендації для ЛР2: поточний стан обчислювати через LATERAL або з обмеженням за часом (DISTINCT ON по всій історії на 500 пристроях триває ≈ 3,5 с); для звіту uptime задавати work_mem ≥ 64 МБ; створювати секції наперед. Правила, які не можна виразити обмеженнями CHECK (допустимі переходи статусів, паспорт ДБЖ лише для категорії ups, сповіщення лише по відкритих інцидентах і на канали з контактом), реалізуються тригерами ЛР2 (ФВ-05, ФВ-14, ФВ-16).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16–30). Для кожного поля зазначено тип даних PostgreSQL, участь у ключах (PK — первинний, FK — зовнішній, UQ — унікальний),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метрики; SMALLINT зменшує розмір рядка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Кожне застосування зміненого файлу додає рядок; активною є рівно одна версія.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виявляється зміна файлу й запобігається повторне застосування.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активна лише одна.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${SECRET_REF}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вузла,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1–65535 (тому INTEGER, а не SMALLINT з максимумом 32767).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жодна дата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Сувора перевірка файлу, зовнішні ключі й транзакційне застосування гарантують, що некоректний файл не змінить БД. Це перевірено прототипом завантажувача на 22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Тестування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п’ятьма незалежними напрямами (п. 5.8) підтвердило працездатність БД: автотест обмежень — 47 з 47, усі типові запити сервісів укладаються в NFR-01 навіть для 500 пристроїв. Виявлені під час тестування прогалини в обмеженнях і дефекти завантажувача YAML виправлено до здачі, а правила, що потребують процедурної логіки, включено до вимог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31).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із суворою перевіркою файлу в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(LATERAL … LIMIT 1 або DISTINCT ON з обмеженням за часом — див. п. 5.8)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лише по відкритих інцидентах, активним користувачам і на канали, для яких є контакт;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 (з перенесенням рядків із секції за замовчуванням),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(47 перевірок), доповнений перевірками тригерів і процедур ЛР2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межі місячних секцій metric_reading рахуються в UTC незалежно від налаштувань клієнта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TIME ZONE 'UTC';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e-mail зберігається в нижньому регістрі, тому uq_users_email не залежить від регістру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(email = lower(email)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AND email ~ '^[^@[:space:]]+@[^@[:space:]]+\.[^@[:space:]]+$'))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кожне успішне застосування файлу — новий рядок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AND (username IS NULL OR btrim(username)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адреса вузла (не мережі); IPv4-mapped IPv6 (::ffff:a.b.c.d) заборонено — це дубль IPv4-адреси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AND NOT (family(ip_address) = 6 AND ip_address &lt;&lt;= inet '::ffff:0.0.0.0/96')),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(incident_type = 'offline' OR metric_value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 — в обидва боки: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дата етапу заповнена тоді й лише тоді, коли інцидент дійшов до цього етапу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((status = 'escalated' AND escalated_at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(status = 'new' AND escalated_at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status NOT IN ('new', 'escalated')),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((status IN ('new', 'escalated')) = (acknowledged_at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(acknowledged_at IS NULL) = (acknowledged_by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((status IN ('resolved', 'closed')) = (resolved_at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((status = 'closed') = (closed_at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(status = 'closed') = (close_comment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(close_comment IS NULL OR btrim(close_comment)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coalesce(acknowledged_at, opened_at))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coalesce(resolved_at, acknowledged_at, opened_at)))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((status = 'sent') = (sent_at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((status = 'failed') = (error_message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Свідомий виняток: metric_reading.metric_id (fk_reading_metric) окремого індексу не має —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довідник metric практично не змінюється, а індекс (metric_id, read_at) на найбільшій таблиці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додав би ≈ 30 Б на рядок (≈ 30 % її обсягу); metric_id входить до pk_metric_reading другим стовпцем.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IP-адреса унікальна серед активних пристроїв: виведений з експлуатації пристрій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зберігає свою історію, але не блокує повторне використання адреси новим пристроєм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uq_equipment_ip    ON equipment (ip_address)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bb28db64ea3a31fbded5dba7ff3b0ee479c8ed52.png"/><Relationship Id="rId18" Type="http://schemas.openxmlformats.org/officeDocument/2006/relationships/image" Target="media/75bff0f35cd2ae885e197fb4348cfa5ad3552c8b.png"/><Relationship Id="rId19" Type="http://schemas.openxmlformats.org/officeDocument/2006/relationships/image" Target="media/9c0fddaa56cfadc3c96a71d24eec0d33bcfe1f89.png"/><Relationship Id="rId20" Type="http://schemas.openxmlformats.org/officeDocument/2006/relationships/image" Target="media/7f62f3fc1d0a0f4467090aecba07d220e7d0771d.png"/><Relationship Id="rId21" Type="http://schemas.openxmlformats.org/officeDocument/2006/relationships/image" Target="media/917e5b2f506c6a41cb2041486142534b3a4f3010.png"/><Relationship Id="rId22" Type="http://schemas.openxmlformats.org/officeDocument/2006/relationships/image" Target="media/f8559d14f830e85fbac303ab292004dad5e1494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2026-10-19T16:23:23.891Z</dcterms:created>
  <dcterms:modified xsi:type="dcterms:W3CDTF">2026-10-19T16:23:23.891Z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